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pPr>
        <w:tabs>
          <w:tab w:val="left" w:pos="5670"/>
        </w:tabs>
        <w:ind w:hanging="142"/>
        <w:rPr>
          <w:sz w:val="28"/>
          <w:szCs w:val="28"/>
        </w:rPr>
      </w:pPr>
      <w:r>
        <w:rPr>
          <w:sz w:val="28"/>
          <w:szCs w:val="28"/>
        </w:rPr>
        <w:t xml:space="preserve">                                                                                  ЗАТВЕРДЖЕНО </w:t>
      </w:r>
    </w:p>
    <w:p>
      <w:pPr>
        <w:tabs>
          <w:tab w:val="left" w:pos="5529"/>
        </w:tabs>
        <w:ind w:hanging="142"/>
        <w:rPr>
          <w:sz w:val="28"/>
          <w:szCs w:val="28"/>
        </w:rPr>
      </w:pPr>
      <w:r>
        <w:rPr>
          <w:sz w:val="28"/>
          <w:szCs w:val="28"/>
        </w:rPr>
        <w:t xml:space="preserve">                                                                                  Наказ Міністерства енергетики</w:t>
      </w:r>
    </w:p>
    <w:p>
      <w:pPr>
        <w:tabs>
          <w:tab w:val="left" w:pos="5529"/>
        </w:tabs>
        <w:ind w:hanging="142"/>
        <w:rPr>
          <w:sz w:val="28"/>
          <w:szCs w:val="28"/>
        </w:rPr>
      </w:pPr>
      <w:r>
        <w:rPr>
          <w:sz w:val="28"/>
          <w:szCs w:val="28"/>
        </w:rPr>
        <w:t xml:space="preserve">                                                                                  України</w:t>
      </w:r>
    </w:p>
    <w:p>
      <w:pPr>
        <w:tabs>
          <w:tab w:val="left" w:pos="567"/>
          <w:tab w:val="left" w:pos="5529"/>
        </w:tabs>
        <w:ind w:hanging="142"/>
        <w:rPr>
          <w:sz w:val="28"/>
          <w:szCs w:val="28"/>
          <w:u w:val="single"/>
        </w:rPr>
      </w:pPr>
      <w:r>
        <w:rPr>
          <w:sz w:val="28"/>
          <w:szCs w:val="28"/>
        </w:rPr>
        <w:t xml:space="preserve">                                                                                  11 січня 2025 року  № 19</w:t>
      </w:r>
    </w:p>
    <w:p>
      <w:pPr>
        <w:tabs>
          <w:tab w:val="left" w:pos="5529"/>
        </w:tabs>
        <w:ind w:hanging="142"/>
        <w:rPr>
          <w:sz w:val="28"/>
          <w:szCs w:val="28"/>
        </w:rPr>
      </w:pPr>
      <w:r>
        <w:rPr>
          <w:sz w:val="28"/>
          <w:szCs w:val="28"/>
        </w:rPr>
        <w:t xml:space="preserve">                                                                                  (в редакції наказу </w:t>
      </w:r>
    </w:p>
    <w:p>
      <w:pPr>
        <w:tabs>
          <w:tab w:val="left" w:pos="5529"/>
        </w:tabs>
        <w:ind w:hanging="142"/>
        <w:rPr>
          <w:sz w:val="28"/>
          <w:szCs w:val="28"/>
        </w:rPr>
      </w:pPr>
      <w:r>
        <w:rPr>
          <w:sz w:val="28"/>
          <w:szCs w:val="28"/>
        </w:rPr>
        <w:t xml:space="preserve">                                                                                  Міністерства енергетики України  </w:t>
      </w:r>
    </w:p>
    <w:p>
      <w:pPr>
        <w:tabs>
          <w:tab w:val="left" w:pos="5529"/>
        </w:tabs>
        <w:rPr>
          <w:sz w:val="28"/>
          <w:szCs w:val="28"/>
        </w:rPr>
      </w:pPr>
      <w:r>
        <w:rPr>
          <w:sz w:val="28"/>
          <w:szCs w:val="28"/>
        </w:rPr>
        <w:t xml:space="preserve">                                                                                від</w:t>
      </w:r>
      <w:bookmarkStart w:id="0" w:name="_GoBack"/>
      <w:bookmarkEnd w:id="0"/>
      <w:r>
        <w:rPr>
          <w:sz w:val="28"/>
          <w:szCs w:val="28"/>
        </w:rPr>
        <w:t>__________2025 року №____)</w:t>
      </w:r>
    </w:p>
    <w:p>
      <w:pPr>
        <w:keepNext/>
        <w:tabs>
          <w:tab w:val="center" w:pos="4536"/>
          <w:tab w:val="right" w:pos="6350"/>
        </w:tabs>
        <w:suppressAutoHyphens/>
        <w:rPr>
          <w:sz w:val="28"/>
          <w:szCs w:val="28"/>
          <w:lang w:eastAsia="zh-CN"/>
        </w:rPr>
      </w:pPr>
    </w:p>
    <w:p>
      <w:pPr>
        <w:keepNext/>
        <w:tabs>
          <w:tab w:val="center" w:pos="4536"/>
          <w:tab w:val="right" w:pos="6350"/>
        </w:tabs>
        <w:suppressAutoHyphens/>
        <w:spacing w:after="180" w:line="257" w:lineRule="auto"/>
        <w:jc w:val="center"/>
        <w:rPr>
          <w:b/>
          <w:sz w:val="28"/>
          <w:szCs w:val="28"/>
          <w:lang w:eastAsia="zh-CN"/>
        </w:rPr>
      </w:pPr>
    </w:p>
    <w:p>
      <w:pPr>
        <w:keepNext/>
        <w:tabs>
          <w:tab w:val="center" w:pos="4536"/>
          <w:tab w:val="right" w:pos="6350"/>
        </w:tabs>
        <w:suppressAutoHyphens/>
        <w:spacing w:after="180" w:line="257" w:lineRule="auto"/>
        <w:jc w:val="center"/>
        <w:rPr>
          <w:b/>
          <w:sz w:val="28"/>
          <w:szCs w:val="28"/>
          <w:lang w:eastAsia="zh-CN"/>
        </w:rPr>
      </w:pPr>
    </w:p>
    <w:p>
      <w:pPr>
        <w:keepNext/>
        <w:tabs>
          <w:tab w:val="center" w:pos="4536"/>
          <w:tab w:val="right" w:pos="6350"/>
        </w:tabs>
        <w:suppressAutoHyphens/>
        <w:spacing w:after="180" w:line="257" w:lineRule="auto"/>
        <w:jc w:val="center"/>
        <w:rPr>
          <w:b/>
          <w:sz w:val="28"/>
          <w:szCs w:val="28"/>
          <w:lang w:eastAsia="zh-CN"/>
        </w:rPr>
      </w:pPr>
    </w:p>
    <w:p>
      <w:pPr>
        <w:keepNext/>
        <w:tabs>
          <w:tab w:val="center" w:pos="4536"/>
          <w:tab w:val="right" w:pos="6350"/>
        </w:tabs>
        <w:suppressAutoHyphens/>
        <w:spacing w:after="180" w:line="257" w:lineRule="auto"/>
        <w:jc w:val="center"/>
        <w:rPr>
          <w:b/>
          <w:sz w:val="28"/>
          <w:szCs w:val="28"/>
          <w:lang w:eastAsia="zh-CN"/>
        </w:rPr>
      </w:pPr>
    </w:p>
    <w:p>
      <w:pPr>
        <w:keepNext/>
        <w:tabs>
          <w:tab w:val="center" w:pos="4536"/>
          <w:tab w:val="right" w:pos="6350"/>
        </w:tabs>
        <w:suppressAutoHyphens/>
        <w:spacing w:after="180" w:line="257" w:lineRule="auto"/>
        <w:jc w:val="center"/>
        <w:rPr>
          <w:b/>
          <w:sz w:val="28"/>
          <w:szCs w:val="28"/>
          <w:lang w:eastAsia="zh-CN"/>
        </w:rPr>
      </w:pPr>
    </w:p>
    <w:p>
      <w:pPr>
        <w:keepNext/>
        <w:tabs>
          <w:tab w:val="center" w:pos="4536"/>
          <w:tab w:val="right" w:pos="6350"/>
        </w:tabs>
        <w:suppressAutoHyphens/>
        <w:spacing w:after="180" w:line="257" w:lineRule="auto"/>
        <w:jc w:val="center"/>
        <w:rPr>
          <w:b/>
          <w:sz w:val="28"/>
          <w:szCs w:val="28"/>
          <w:lang w:eastAsia="zh-CN"/>
        </w:rPr>
      </w:pPr>
    </w:p>
    <w:p>
      <w:pPr>
        <w:keepNext/>
        <w:tabs>
          <w:tab w:val="center" w:pos="4536"/>
          <w:tab w:val="right" w:pos="6350"/>
        </w:tabs>
        <w:suppressAutoHyphens/>
        <w:spacing w:after="180" w:line="257" w:lineRule="auto"/>
        <w:jc w:val="center"/>
        <w:rPr>
          <w:b/>
          <w:sz w:val="28"/>
          <w:szCs w:val="28"/>
          <w:lang w:eastAsia="zh-CN"/>
        </w:rPr>
      </w:pPr>
      <w:bookmarkStart w:id="1" w:name="_Hlk187073013"/>
      <w:r>
        <w:rPr>
          <w:b/>
          <w:sz w:val="28"/>
          <w:szCs w:val="28"/>
          <w:lang w:eastAsia="zh-CN"/>
        </w:rPr>
        <w:t>ЛИСТ ОЧІКУВАНЬ ВЛАСНИКА</w:t>
      </w:r>
    </w:p>
    <w:p>
      <w:pPr>
        <w:keepNext/>
        <w:tabs>
          <w:tab w:val="center" w:pos="4536"/>
          <w:tab w:val="right" w:pos="6350"/>
        </w:tabs>
        <w:suppressAutoHyphens/>
        <w:spacing w:before="240" w:after="180" w:line="257" w:lineRule="auto"/>
        <w:jc w:val="center"/>
        <w:rPr>
          <w:sz w:val="28"/>
          <w:szCs w:val="28"/>
          <w:lang w:eastAsia="zh-CN"/>
        </w:rPr>
      </w:pPr>
      <w:r>
        <w:rPr>
          <w:sz w:val="28"/>
          <w:szCs w:val="28"/>
          <w:lang w:eastAsia="zh-CN"/>
        </w:rPr>
        <w:t>Акціонерного товариства «Оператор ринку»</w:t>
      </w:r>
    </w:p>
    <w:bookmarkEnd w:id="1"/>
    <w:p>
      <w:pPr>
        <w:keepNext/>
        <w:tabs>
          <w:tab w:val="center" w:pos="4536"/>
          <w:tab w:val="right" w:pos="6350"/>
        </w:tabs>
        <w:suppressAutoHyphens/>
        <w:spacing w:before="57" w:after="113" w:line="257" w:lineRule="auto"/>
        <w:jc w:val="center"/>
        <w:rPr>
          <w:sz w:val="28"/>
          <w:szCs w:val="28"/>
          <w:lang w:eastAsia="zh-CN"/>
        </w:rPr>
      </w:pPr>
      <w:r>
        <w:rPr>
          <w:sz w:val="28"/>
          <w:szCs w:val="28"/>
          <w:lang w:eastAsia="zh-CN"/>
        </w:rPr>
        <w:t>на 2025 рік</w:t>
      </w:r>
    </w:p>
    <w:p>
      <w:pPr>
        <w:tabs>
          <w:tab w:val="right" w:pos="7370"/>
          <w:tab w:val="right" w:pos="9383"/>
        </w:tabs>
        <w:suppressAutoHyphens/>
        <w:spacing w:line="257" w:lineRule="auto"/>
        <w:ind w:firstLine="283"/>
        <w:jc w:val="both"/>
        <w:rPr>
          <w:lang w:eastAsia="zh-CN"/>
        </w:rPr>
      </w:pPr>
    </w:p>
    <w:p>
      <w:pPr>
        <w:suppressAutoHyphens/>
        <w:spacing w:after="120" w:line="276" w:lineRule="auto"/>
        <w:jc w:val="both"/>
        <w:rPr>
          <w:lang w:eastAsia="zh-CN"/>
        </w:rPr>
      </w:pPr>
    </w:p>
    <w:p>
      <w:pPr>
        <w:suppressAutoHyphens/>
        <w:spacing w:after="120" w:line="276" w:lineRule="auto"/>
        <w:jc w:val="both"/>
        <w:rPr>
          <w:lang w:eastAsia="zh-CN"/>
        </w:rPr>
      </w:pPr>
    </w:p>
    <w:p>
      <w:pPr>
        <w:suppressAutoHyphens/>
        <w:spacing w:after="120" w:line="276" w:lineRule="auto"/>
        <w:jc w:val="both"/>
        <w:rPr>
          <w:lang w:eastAsia="zh-CN"/>
        </w:rPr>
      </w:pPr>
    </w:p>
    <w:p>
      <w:pPr>
        <w:suppressAutoHyphens/>
        <w:spacing w:after="120" w:line="276" w:lineRule="auto"/>
        <w:jc w:val="both"/>
        <w:rPr>
          <w:lang w:eastAsia="zh-CN"/>
        </w:rPr>
      </w:pPr>
    </w:p>
    <w:p>
      <w:pPr>
        <w:suppressAutoHyphens/>
        <w:spacing w:after="120" w:line="276" w:lineRule="auto"/>
        <w:jc w:val="both"/>
        <w:rPr>
          <w:lang w:eastAsia="zh-CN"/>
        </w:rPr>
      </w:pPr>
    </w:p>
    <w:p>
      <w:pPr>
        <w:suppressAutoHyphens/>
        <w:spacing w:after="120" w:line="276" w:lineRule="auto"/>
        <w:jc w:val="both"/>
        <w:rPr>
          <w:lang w:eastAsia="zh-CN"/>
        </w:rPr>
      </w:pPr>
    </w:p>
    <w:p>
      <w:pPr>
        <w:suppressAutoHyphens/>
        <w:spacing w:after="120" w:line="276" w:lineRule="auto"/>
        <w:jc w:val="both"/>
        <w:rPr>
          <w:lang w:eastAsia="zh-CN"/>
        </w:rPr>
      </w:pPr>
    </w:p>
    <w:p>
      <w:pPr>
        <w:suppressAutoHyphens/>
        <w:spacing w:after="120" w:line="276" w:lineRule="auto"/>
        <w:jc w:val="both"/>
        <w:rPr>
          <w:lang w:eastAsia="zh-CN"/>
        </w:rPr>
      </w:pPr>
    </w:p>
    <w:p>
      <w:pPr>
        <w:suppressAutoHyphens/>
        <w:spacing w:after="120" w:line="276" w:lineRule="auto"/>
        <w:jc w:val="both"/>
        <w:rPr>
          <w:lang w:eastAsia="zh-CN"/>
        </w:rPr>
      </w:pPr>
    </w:p>
    <w:p>
      <w:pPr>
        <w:suppressAutoHyphens/>
        <w:spacing w:after="120" w:line="276" w:lineRule="auto"/>
        <w:jc w:val="both"/>
        <w:rPr>
          <w:lang w:eastAsia="zh-CN"/>
        </w:rPr>
      </w:pPr>
    </w:p>
    <w:p>
      <w:pPr>
        <w:suppressAutoHyphens/>
        <w:spacing w:after="120" w:line="276" w:lineRule="auto"/>
        <w:jc w:val="both"/>
        <w:rPr>
          <w:lang w:eastAsia="zh-CN"/>
        </w:rPr>
      </w:pPr>
    </w:p>
    <w:p>
      <w:pPr>
        <w:suppressAutoHyphens/>
        <w:spacing w:after="120" w:line="276" w:lineRule="auto"/>
        <w:jc w:val="both"/>
        <w:rPr>
          <w:lang w:eastAsia="zh-CN"/>
        </w:rPr>
      </w:pPr>
    </w:p>
    <w:p>
      <w:pPr>
        <w:spacing w:after="160" w:line="259" w:lineRule="auto"/>
        <w:rPr>
          <w:lang w:eastAsia="zh-CN"/>
        </w:rPr>
      </w:pPr>
      <w:r>
        <w:rPr>
          <w:lang w:eastAsia="zh-CN"/>
        </w:rPr>
        <w:br w:type="page"/>
      </w:r>
    </w:p>
    <w:p>
      <w:pPr>
        <w:ind w:firstLine="567"/>
        <w:jc w:val="both"/>
        <w:rPr>
          <w:sz w:val="28"/>
          <w:szCs w:val="28"/>
        </w:rPr>
      </w:pPr>
      <w:r>
        <w:rPr>
          <w:sz w:val="28"/>
          <w:szCs w:val="28"/>
        </w:rPr>
        <w:lastRenderedPageBreak/>
        <w:t xml:space="preserve">Цей Лист очікувань власника </w:t>
      </w:r>
      <w:bookmarkStart w:id="2" w:name="_Hlk187074755"/>
      <w:r>
        <w:rPr>
          <w:sz w:val="28"/>
          <w:szCs w:val="28"/>
        </w:rPr>
        <w:t xml:space="preserve">Акціонерного товариства «Оператор ринку» на 2025 рік </w:t>
      </w:r>
      <w:bookmarkEnd w:id="2"/>
      <w:r>
        <w:rPr>
          <w:sz w:val="28"/>
          <w:szCs w:val="28"/>
        </w:rPr>
        <w:t xml:space="preserve">(далі – Лист очікувань власника) розроблено на виконання пункту 5 частини першої статті 6 Закону України «Про управління об’єктами державної власності», пункту 74 </w:t>
      </w:r>
      <w:bookmarkStart w:id="3" w:name="_Hlk187080429"/>
      <w:r>
        <w:rPr>
          <w:sz w:val="28"/>
          <w:szCs w:val="28"/>
        </w:rPr>
        <w:t>Політики державної власності</w:t>
      </w:r>
      <w:bookmarkEnd w:id="3"/>
      <w:r>
        <w:rPr>
          <w:sz w:val="28"/>
          <w:szCs w:val="28"/>
        </w:rPr>
        <w:t xml:space="preserve">, затвердженої постановою Кабінету Міністрів України від 29 листопада 2024 року № 1369 (далі – Політика державної власності), відповідно до Порядку підготовки та затвердження листа очікувань власника, затвердженого наказом Міністерства енергетики України від 31 жовтня 2024 року № 419 </w:t>
      </w:r>
      <w:r>
        <w:rPr>
          <w:bCs/>
          <w:spacing w:val="-6"/>
          <w:sz w:val="28"/>
          <w:szCs w:val="28"/>
        </w:rPr>
        <w:t>(зі змінами, внесеними наказом Міністерства енергетики України від 20 січня 2025 року № 29)</w:t>
      </w:r>
      <w:r>
        <w:rPr>
          <w:sz w:val="28"/>
          <w:szCs w:val="28"/>
        </w:rPr>
        <w:t>, та з урахуванням Методичних рекомендацій щодо підготовки листа очікувань власника, затверджених наказом Міністерства економіки України від 01 жовтня 2024 року № 24098, і містить коротко- та середньострокові фінансові, операційні і нефінансові цілі та відповідні показники діяльності АТ «Оператор ринку» на 2025 рік.</w:t>
      </w:r>
    </w:p>
    <w:p>
      <w:pPr>
        <w:ind w:firstLine="567"/>
        <w:jc w:val="both"/>
        <w:rPr>
          <w:sz w:val="16"/>
          <w:szCs w:val="16"/>
        </w:rPr>
      </w:pPr>
    </w:p>
    <w:p>
      <w:pPr>
        <w:suppressAutoHyphens/>
        <w:spacing w:after="120" w:line="276" w:lineRule="auto"/>
        <w:jc w:val="center"/>
        <w:rPr>
          <w:b/>
          <w:sz w:val="28"/>
          <w:szCs w:val="28"/>
          <w:lang w:eastAsia="zh-CN"/>
        </w:rPr>
      </w:pPr>
      <w:bookmarkStart w:id="4" w:name="n3"/>
      <w:bookmarkEnd w:id="4"/>
      <w:r>
        <w:rPr>
          <w:b/>
          <w:sz w:val="28"/>
          <w:szCs w:val="28"/>
          <w:lang w:eastAsia="zh-CN"/>
        </w:rPr>
        <w:t xml:space="preserve">І. Цілі діяльності </w:t>
      </w:r>
      <w:bookmarkStart w:id="5" w:name="_Hlk187059736"/>
      <w:r>
        <w:rPr>
          <w:b/>
          <w:sz w:val="28"/>
          <w:szCs w:val="28"/>
          <w:lang w:eastAsia="zh-CN"/>
        </w:rPr>
        <w:t>Акціонерного товариства «Оператор ринку»</w:t>
      </w:r>
      <w:bookmarkEnd w:id="5"/>
    </w:p>
    <w:p>
      <w:pPr>
        <w:ind w:firstLine="567"/>
        <w:jc w:val="both"/>
        <w:rPr>
          <w:sz w:val="28"/>
          <w:szCs w:val="28"/>
        </w:rPr>
      </w:pPr>
      <w:r>
        <w:rPr>
          <w:sz w:val="28"/>
          <w:szCs w:val="28"/>
        </w:rPr>
        <w:t>Відповідно до Закону України «</w:t>
      </w:r>
      <w:hyperlink r:id="rId8" w:history="1">
        <w:r>
          <w:rPr>
            <w:rStyle w:val="a8"/>
            <w:color w:val="auto"/>
            <w:sz w:val="28"/>
            <w:szCs w:val="28"/>
            <w:u w:val="none"/>
          </w:rPr>
          <w:t>Про ринок електричної енергії</w:t>
        </w:r>
      </w:hyperlink>
      <w:r>
        <w:rPr>
          <w:sz w:val="28"/>
          <w:szCs w:val="28"/>
        </w:rPr>
        <w:t>» (далі – Закон) з 01 липня 2019 року в Україні запроваджено новий ринок електричної енергії, що, зокрема, складається з таких сегментів як ринок допоміжних послуг, балансуючий ринок, ринок «на добу наперед» (далі – РДН), внутрішньодобовий ринок (далі – ВДР) та ринок за двосторонніми договорами.</w:t>
      </w:r>
    </w:p>
    <w:p>
      <w:pPr>
        <w:ind w:firstLine="567"/>
        <w:jc w:val="both"/>
        <w:rPr>
          <w:sz w:val="28"/>
          <w:szCs w:val="28"/>
        </w:rPr>
      </w:pPr>
      <w:r>
        <w:rPr>
          <w:sz w:val="28"/>
          <w:szCs w:val="28"/>
        </w:rPr>
        <w:t>Акціонерне товариство «Оператор ринку» (код за ЄДРПОУ 43064445)                               (далі – АТ «Оператор ринку», Товариство) утворене з метою виконання функцій оператора ринку електричної енергії щодо створення організаційних, технологічних, інформаційних та інших умов для здійснення регулярних торгів на РДН та ВДР.</w:t>
      </w:r>
    </w:p>
    <w:p>
      <w:pPr>
        <w:ind w:firstLine="567"/>
        <w:jc w:val="both"/>
        <w:rPr>
          <w:sz w:val="28"/>
          <w:szCs w:val="28"/>
        </w:rPr>
      </w:pPr>
      <w:r>
        <w:rPr>
          <w:sz w:val="28"/>
          <w:szCs w:val="28"/>
        </w:rPr>
        <w:t xml:space="preserve">Товариство забезпечує функціонування РДН та ВДР, здійснює організацію </w:t>
      </w:r>
      <w:r>
        <w:rPr>
          <w:sz w:val="28"/>
          <w:szCs w:val="28"/>
        </w:rPr>
        <w:br/>
        <w:t xml:space="preserve">купівлі-продажу електричної енергії на цих сегментах ринку електричної енергії відповідно до Закону та Ліцензійних умов провадження господарської діяльності зі здійснення функцій оператора ринку, затверджених постановою </w:t>
      </w:r>
      <w:bookmarkStart w:id="6" w:name="_Hlk187075102"/>
      <w:r>
        <w:rPr>
          <w:sz w:val="28"/>
          <w:szCs w:val="28"/>
        </w:rPr>
        <w:t>Національної комісії, що здійснює державне регулювання у сферах енергетики та комунальних послуг</w:t>
      </w:r>
      <w:bookmarkEnd w:id="6"/>
      <w:r>
        <w:rPr>
          <w:sz w:val="28"/>
          <w:szCs w:val="28"/>
        </w:rPr>
        <w:t xml:space="preserve">, від 27 грудня 2017 року № 1466 (далі – Ліцензійні умови). </w:t>
      </w:r>
    </w:p>
    <w:p>
      <w:pPr>
        <w:ind w:firstLine="567"/>
        <w:jc w:val="both"/>
        <w:rPr>
          <w:sz w:val="28"/>
          <w:szCs w:val="28"/>
        </w:rPr>
      </w:pPr>
      <w:r>
        <w:rPr>
          <w:sz w:val="28"/>
          <w:szCs w:val="28"/>
        </w:rPr>
        <w:t xml:space="preserve">Крім того, згідно з положеннями Закону АТ «Оператор ринку» має право організовувати та проводити електронні аукціони з купівлі-продажу електричної енергії за двосторонніми договорами. </w:t>
      </w:r>
    </w:p>
    <w:p>
      <w:pPr>
        <w:ind w:firstLine="567"/>
        <w:jc w:val="both"/>
        <w:rPr>
          <w:sz w:val="28"/>
          <w:szCs w:val="28"/>
        </w:rPr>
      </w:pPr>
      <w:r>
        <w:rPr>
          <w:sz w:val="28"/>
          <w:szCs w:val="28"/>
        </w:rPr>
        <w:t>Основною ціллю Товариства, як єдиного оператора РДН/ВДР в Україні, є надання доступних та якісних послуг учасникам ринку електричної енергії, що відповідають найкращим європейським та світовим практикам, з метою забезпечення прозорості функціонування РДН/ВДР з дотриманням принципів вільного ціноутворення.</w:t>
      </w:r>
    </w:p>
    <w:p>
      <w:pPr>
        <w:ind w:firstLine="567"/>
        <w:jc w:val="both"/>
        <w:rPr>
          <w:sz w:val="28"/>
          <w:szCs w:val="28"/>
        </w:rPr>
      </w:pPr>
      <w:r>
        <w:rPr>
          <w:sz w:val="28"/>
          <w:szCs w:val="28"/>
        </w:rPr>
        <w:t>Основою формування дохідної та витратної частин Товариства є надання послуг з організації купівлі-продажу на РДН/ВДР та організація торгів на РДН/ВДР. Діяльність на РДН/ВДР є основною діяльністю АТ «Оператор ринку», доходи за якою складають 95% від усіх доходів Товариства.</w:t>
      </w:r>
    </w:p>
    <w:p>
      <w:pPr>
        <w:ind w:firstLine="567"/>
        <w:jc w:val="both"/>
        <w:rPr>
          <w:sz w:val="28"/>
          <w:szCs w:val="28"/>
        </w:rPr>
      </w:pPr>
      <w:r>
        <w:rPr>
          <w:sz w:val="28"/>
          <w:szCs w:val="28"/>
        </w:rPr>
        <w:lastRenderedPageBreak/>
        <w:t>Сполучення ефективно функціонуючих РДН та ВДР з єдиним ринком «на добу наперед» (</w:t>
      </w:r>
      <w:proofErr w:type="spellStart"/>
      <w:r>
        <w:rPr>
          <w:sz w:val="28"/>
          <w:szCs w:val="28"/>
        </w:rPr>
        <w:t>single</w:t>
      </w:r>
      <w:proofErr w:type="spellEnd"/>
      <w:r>
        <w:rPr>
          <w:sz w:val="28"/>
          <w:szCs w:val="28"/>
        </w:rPr>
        <w:t xml:space="preserve"> </w:t>
      </w:r>
      <w:proofErr w:type="spellStart"/>
      <w:r>
        <w:rPr>
          <w:sz w:val="28"/>
          <w:szCs w:val="28"/>
        </w:rPr>
        <w:t>day-ahead</w:t>
      </w:r>
      <w:proofErr w:type="spellEnd"/>
      <w:r>
        <w:rPr>
          <w:sz w:val="28"/>
          <w:szCs w:val="28"/>
        </w:rPr>
        <w:t xml:space="preserve"> </w:t>
      </w:r>
      <w:proofErr w:type="spellStart"/>
      <w:r>
        <w:rPr>
          <w:sz w:val="28"/>
          <w:szCs w:val="28"/>
        </w:rPr>
        <w:t>market</w:t>
      </w:r>
      <w:proofErr w:type="spellEnd"/>
      <w:r>
        <w:rPr>
          <w:sz w:val="28"/>
          <w:szCs w:val="28"/>
        </w:rPr>
        <w:t xml:space="preserve"> – SDAC) та єдиним внутрішньодобовим ринком (</w:t>
      </w:r>
      <w:proofErr w:type="spellStart"/>
      <w:r>
        <w:rPr>
          <w:sz w:val="28"/>
          <w:szCs w:val="28"/>
        </w:rPr>
        <w:t>single</w:t>
      </w:r>
      <w:proofErr w:type="spellEnd"/>
      <w:r>
        <w:rPr>
          <w:sz w:val="28"/>
          <w:szCs w:val="28"/>
        </w:rPr>
        <w:t xml:space="preserve"> </w:t>
      </w:r>
      <w:proofErr w:type="spellStart"/>
      <w:r>
        <w:rPr>
          <w:sz w:val="28"/>
          <w:szCs w:val="28"/>
        </w:rPr>
        <w:t>intraday</w:t>
      </w:r>
      <w:proofErr w:type="spellEnd"/>
      <w:r>
        <w:rPr>
          <w:sz w:val="28"/>
          <w:szCs w:val="28"/>
        </w:rPr>
        <w:t xml:space="preserve"> </w:t>
      </w:r>
      <w:proofErr w:type="spellStart"/>
      <w:r>
        <w:rPr>
          <w:sz w:val="28"/>
          <w:szCs w:val="28"/>
        </w:rPr>
        <w:t>market</w:t>
      </w:r>
      <w:proofErr w:type="spellEnd"/>
      <w:r>
        <w:rPr>
          <w:sz w:val="28"/>
          <w:szCs w:val="28"/>
        </w:rPr>
        <w:t xml:space="preserve"> – SIDC) Європейського Союзу (далі – ЄС) є ключовим компонентом стратегічної мети України щодо об’єднання енергетичних ринків з ЄС (</w:t>
      </w:r>
      <w:proofErr w:type="spellStart"/>
      <w:r>
        <w:rPr>
          <w:sz w:val="28"/>
          <w:szCs w:val="28"/>
        </w:rPr>
        <w:t>market</w:t>
      </w:r>
      <w:proofErr w:type="spellEnd"/>
      <w:r>
        <w:rPr>
          <w:sz w:val="28"/>
          <w:szCs w:val="28"/>
        </w:rPr>
        <w:t xml:space="preserve"> </w:t>
      </w:r>
      <w:proofErr w:type="spellStart"/>
      <w:r>
        <w:rPr>
          <w:sz w:val="28"/>
          <w:szCs w:val="28"/>
        </w:rPr>
        <w:t>coupling</w:t>
      </w:r>
      <w:proofErr w:type="spellEnd"/>
      <w:r>
        <w:rPr>
          <w:sz w:val="28"/>
          <w:szCs w:val="28"/>
        </w:rPr>
        <w:t xml:space="preserve">) для інтеграції ринку електричної енергії України до внутрішнього ринку ЄС. Ціллю Товариства в рамках </w:t>
      </w:r>
      <w:proofErr w:type="spellStart"/>
      <w:r>
        <w:rPr>
          <w:sz w:val="28"/>
          <w:szCs w:val="28"/>
        </w:rPr>
        <w:t>market</w:t>
      </w:r>
      <w:proofErr w:type="spellEnd"/>
      <w:r>
        <w:rPr>
          <w:sz w:val="28"/>
          <w:szCs w:val="28"/>
        </w:rPr>
        <w:t xml:space="preserve"> </w:t>
      </w:r>
      <w:proofErr w:type="spellStart"/>
      <w:r>
        <w:rPr>
          <w:sz w:val="28"/>
          <w:szCs w:val="28"/>
        </w:rPr>
        <w:t>coupling</w:t>
      </w:r>
      <w:proofErr w:type="spellEnd"/>
      <w:r>
        <w:rPr>
          <w:sz w:val="28"/>
          <w:szCs w:val="28"/>
        </w:rPr>
        <w:t xml:space="preserve"> є отримання статусу номінованого оператора ринку (NEMO) та організація торгів на об’єднаних ринках SDAC/SIDC.</w:t>
      </w:r>
    </w:p>
    <w:p>
      <w:pPr>
        <w:ind w:firstLine="567"/>
        <w:jc w:val="both"/>
        <w:rPr>
          <w:sz w:val="28"/>
          <w:szCs w:val="28"/>
          <w:shd w:val="clear" w:color="auto" w:fill="FFFFFF"/>
        </w:rPr>
      </w:pPr>
      <w:r>
        <w:rPr>
          <w:sz w:val="28"/>
          <w:szCs w:val="28"/>
          <w:shd w:val="clear" w:color="auto" w:fill="FFFFFF"/>
        </w:rPr>
        <w:t xml:space="preserve">Крім того, з урахуванням змін, унесених Законом України «Про внесення змін до деяких законів України щодо запобігання зловживанням на оптових енергетичних ринках», в українське законодавство транспоновано Регламент ЄС № 1227/2011 про доброчесність та прозорість на оптовому енергетичному ринку (REMIT), зокрема, </w:t>
      </w:r>
      <w:proofErr w:type="spellStart"/>
      <w:r>
        <w:rPr>
          <w:sz w:val="28"/>
          <w:szCs w:val="28"/>
          <w:shd w:val="clear" w:color="auto" w:fill="FFFFFF"/>
        </w:rPr>
        <w:t>внесено</w:t>
      </w:r>
      <w:proofErr w:type="spellEnd"/>
      <w:r>
        <w:rPr>
          <w:sz w:val="28"/>
          <w:szCs w:val="28"/>
          <w:shd w:val="clear" w:color="auto" w:fill="FFFFFF"/>
        </w:rPr>
        <w:t xml:space="preserve"> відповідні зміни до Закону.</w:t>
      </w:r>
    </w:p>
    <w:p>
      <w:pPr>
        <w:ind w:firstLine="567"/>
        <w:jc w:val="both"/>
        <w:rPr>
          <w:sz w:val="28"/>
          <w:szCs w:val="28"/>
          <w:shd w:val="clear" w:color="auto" w:fill="FFFFFF"/>
        </w:rPr>
      </w:pPr>
      <w:r>
        <w:rPr>
          <w:sz w:val="28"/>
          <w:szCs w:val="28"/>
          <w:shd w:val="clear" w:color="auto" w:fill="FFFFFF"/>
        </w:rPr>
        <w:t xml:space="preserve">Відповідно до зазначених змін АТ «Оператор ринку» визначено таким, що </w:t>
      </w:r>
      <w:proofErr w:type="spellStart"/>
      <w:r>
        <w:rPr>
          <w:sz w:val="28"/>
          <w:szCs w:val="28"/>
          <w:shd w:val="clear" w:color="auto" w:fill="FFFFFF"/>
        </w:rPr>
        <w:t>професійно</w:t>
      </w:r>
      <w:proofErr w:type="spellEnd"/>
      <w:r>
        <w:rPr>
          <w:sz w:val="28"/>
          <w:szCs w:val="28"/>
          <w:shd w:val="clear" w:color="auto" w:fill="FFFFFF"/>
        </w:rPr>
        <w:t xml:space="preserve"> організовує операції з оптовими енергетичними продуктами на ринку електричної енергії, а також виконує функції адміністратора передачі даних та адміністратора платформи </w:t>
      </w:r>
      <w:proofErr w:type="spellStart"/>
      <w:r>
        <w:rPr>
          <w:sz w:val="28"/>
          <w:szCs w:val="28"/>
          <w:shd w:val="clear" w:color="auto" w:fill="FFFFFF"/>
        </w:rPr>
        <w:t>інсайдерської</w:t>
      </w:r>
      <w:proofErr w:type="spellEnd"/>
      <w:r>
        <w:rPr>
          <w:sz w:val="28"/>
          <w:szCs w:val="28"/>
          <w:shd w:val="clear" w:color="auto" w:fill="FFFFFF"/>
        </w:rPr>
        <w:t xml:space="preserve"> інформації відповідно до Ліцензійних умов.</w:t>
      </w:r>
    </w:p>
    <w:p>
      <w:pPr>
        <w:tabs>
          <w:tab w:val="left" w:pos="1080"/>
        </w:tabs>
        <w:ind w:firstLine="567"/>
        <w:jc w:val="both"/>
        <w:rPr>
          <w:sz w:val="28"/>
          <w:szCs w:val="28"/>
        </w:rPr>
      </w:pPr>
      <w:r>
        <w:rPr>
          <w:sz w:val="28"/>
          <w:szCs w:val="28"/>
        </w:rPr>
        <w:t>Також, відповідно до Закону Товариство надає інформаційно-консультативні та організаційні послуги, пов’язані з функціонуванням ринку електричної енергії та організовує торги гарантіями походження електричної енергії, виробленої з відновлюваних джерел енергії.</w:t>
      </w:r>
    </w:p>
    <w:p>
      <w:pPr>
        <w:widowControl w:val="0"/>
        <w:ind w:firstLine="567"/>
        <w:jc w:val="both"/>
        <w:rPr>
          <w:rFonts w:eastAsia="DejaVu Sans"/>
          <w:sz w:val="28"/>
          <w:szCs w:val="28"/>
          <w:lang w:eastAsia="zh-CN"/>
        </w:rPr>
      </w:pPr>
      <w:r>
        <w:rPr>
          <w:rFonts w:eastAsia="DejaVu Sans"/>
          <w:sz w:val="28"/>
          <w:szCs w:val="28"/>
          <w:lang w:eastAsia="zh-CN"/>
        </w:rPr>
        <w:t xml:space="preserve">Виконання зазначених цілей спрямовано на забезпечення належного функціонування ринку електричної енергії, його розвиток та одержання прибутку від провадження господарської діяльності для задоволення інтересів акціонера в межах і на умовах, визначених законодавством та Статутом                             АТ «Оператор ринку» (далі – Статут). </w:t>
      </w:r>
    </w:p>
    <w:p>
      <w:pPr>
        <w:widowControl w:val="0"/>
        <w:ind w:firstLine="567"/>
        <w:jc w:val="both"/>
        <w:rPr>
          <w:sz w:val="28"/>
          <w:szCs w:val="28"/>
          <w:lang w:eastAsia="zh-CN"/>
        </w:rPr>
      </w:pPr>
      <w:r>
        <w:rPr>
          <w:sz w:val="28"/>
          <w:szCs w:val="28"/>
          <w:lang w:eastAsia="zh-CN"/>
        </w:rPr>
        <w:t xml:space="preserve">За класифікатором видів економічної діяльності Товариство здійснює такі </w:t>
      </w:r>
      <w:r>
        <w:rPr>
          <w:b/>
          <w:bCs/>
          <w:i/>
          <w:iCs/>
          <w:sz w:val="28"/>
          <w:szCs w:val="28"/>
          <w:lang w:eastAsia="zh-CN"/>
        </w:rPr>
        <w:t>види діяльності</w:t>
      </w:r>
      <w:r>
        <w:rPr>
          <w:sz w:val="28"/>
          <w:szCs w:val="28"/>
          <w:lang w:eastAsia="zh-CN"/>
        </w:rPr>
        <w:t>:</w:t>
      </w:r>
    </w:p>
    <w:p>
      <w:pPr>
        <w:widowControl w:val="0"/>
        <w:ind w:firstLine="567"/>
        <w:jc w:val="both"/>
        <w:rPr>
          <w:rFonts w:eastAsia="DejaVu Sans"/>
          <w:sz w:val="28"/>
          <w:szCs w:val="28"/>
          <w:lang w:eastAsia="uk-UA" w:bidi="uk-UA"/>
        </w:rPr>
      </w:pPr>
      <w:r>
        <w:rPr>
          <w:rFonts w:eastAsia="DejaVu Sans"/>
          <w:b/>
          <w:bCs/>
          <w:i/>
          <w:iCs/>
          <w:sz w:val="28"/>
          <w:szCs w:val="28"/>
          <w:lang w:eastAsia="uk-UA" w:bidi="uk-UA"/>
        </w:rPr>
        <w:t>Основні види діяльності:</w:t>
      </w:r>
    </w:p>
    <w:p>
      <w:pPr>
        <w:widowControl w:val="0"/>
        <w:ind w:firstLine="567"/>
        <w:jc w:val="both"/>
        <w:rPr>
          <w:b/>
          <w:bCs/>
          <w:sz w:val="28"/>
          <w:szCs w:val="28"/>
          <w:lang w:eastAsia="zh-CN"/>
        </w:rPr>
      </w:pPr>
      <w:r>
        <w:rPr>
          <w:rFonts w:eastAsia="DejaVu Sans"/>
          <w:sz w:val="28"/>
          <w:szCs w:val="28"/>
          <w:lang w:eastAsia="uk-UA" w:bidi="uk-UA"/>
        </w:rPr>
        <w:t>35.14 Торгівля електроенергією.</w:t>
      </w:r>
    </w:p>
    <w:p>
      <w:pPr>
        <w:widowControl w:val="0"/>
        <w:ind w:firstLine="567"/>
        <w:jc w:val="both"/>
        <w:rPr>
          <w:sz w:val="28"/>
          <w:szCs w:val="28"/>
          <w:lang w:eastAsia="zh-CN"/>
        </w:rPr>
      </w:pPr>
      <w:r>
        <w:rPr>
          <w:b/>
          <w:bCs/>
          <w:i/>
          <w:iCs/>
          <w:sz w:val="28"/>
          <w:szCs w:val="28"/>
          <w:lang w:eastAsia="zh-CN"/>
        </w:rPr>
        <w:t>Допоміжні види діяльності</w:t>
      </w:r>
      <w:r>
        <w:rPr>
          <w:sz w:val="28"/>
          <w:szCs w:val="28"/>
          <w:lang w:eastAsia="zh-CN"/>
        </w:rPr>
        <w:t>:</w:t>
      </w:r>
    </w:p>
    <w:p>
      <w:pPr>
        <w:tabs>
          <w:tab w:val="left" w:pos="0"/>
          <w:tab w:val="left" w:pos="284"/>
        </w:tabs>
        <w:ind w:firstLine="567"/>
        <w:jc w:val="both"/>
        <w:rPr>
          <w:bCs/>
          <w:sz w:val="28"/>
          <w:szCs w:val="28"/>
        </w:rPr>
      </w:pPr>
      <w:r>
        <w:rPr>
          <w:bCs/>
          <w:sz w:val="28"/>
          <w:szCs w:val="28"/>
        </w:rPr>
        <w:t>46.12 Діяльність посередників у торгівлі паливом, рудами, металами та промисловими хімічними речовинами;</w:t>
      </w:r>
    </w:p>
    <w:p>
      <w:pPr>
        <w:tabs>
          <w:tab w:val="left" w:pos="0"/>
          <w:tab w:val="left" w:pos="284"/>
        </w:tabs>
        <w:ind w:firstLine="567"/>
        <w:jc w:val="both"/>
        <w:rPr>
          <w:bCs/>
          <w:sz w:val="28"/>
          <w:szCs w:val="28"/>
        </w:rPr>
      </w:pPr>
      <w:r>
        <w:rPr>
          <w:bCs/>
          <w:sz w:val="28"/>
          <w:szCs w:val="28"/>
        </w:rPr>
        <w:t>46.18 Діяльність посередників, що спеціалізуються в торгівлі іншими товарами;</w:t>
      </w:r>
    </w:p>
    <w:p>
      <w:pPr>
        <w:tabs>
          <w:tab w:val="left" w:pos="0"/>
          <w:tab w:val="left" w:pos="284"/>
        </w:tabs>
        <w:ind w:firstLine="567"/>
        <w:jc w:val="both"/>
        <w:rPr>
          <w:bCs/>
          <w:sz w:val="28"/>
          <w:szCs w:val="28"/>
        </w:rPr>
      </w:pPr>
      <w:r>
        <w:rPr>
          <w:bCs/>
          <w:sz w:val="28"/>
          <w:szCs w:val="28"/>
        </w:rPr>
        <w:t>46.19 Діяльність посередників у торгівлі товарами широкого асортименту;</w:t>
      </w:r>
    </w:p>
    <w:p>
      <w:pPr>
        <w:tabs>
          <w:tab w:val="left" w:pos="0"/>
          <w:tab w:val="left" w:pos="284"/>
        </w:tabs>
        <w:ind w:firstLine="567"/>
        <w:jc w:val="both"/>
        <w:rPr>
          <w:bCs/>
          <w:sz w:val="28"/>
          <w:szCs w:val="28"/>
        </w:rPr>
      </w:pPr>
      <w:r>
        <w:rPr>
          <w:bCs/>
          <w:sz w:val="28"/>
          <w:szCs w:val="28"/>
        </w:rPr>
        <w:t>46.90 Неспеціалізована оптова торгівля;</w:t>
      </w:r>
    </w:p>
    <w:p>
      <w:pPr>
        <w:tabs>
          <w:tab w:val="left" w:pos="0"/>
          <w:tab w:val="left" w:pos="284"/>
        </w:tabs>
        <w:ind w:firstLine="567"/>
        <w:jc w:val="both"/>
        <w:rPr>
          <w:bCs/>
          <w:sz w:val="28"/>
          <w:szCs w:val="28"/>
        </w:rPr>
      </w:pPr>
      <w:r>
        <w:rPr>
          <w:bCs/>
          <w:sz w:val="28"/>
          <w:szCs w:val="28"/>
        </w:rPr>
        <w:t>62.02 Консультування з питань інформатизації;</w:t>
      </w:r>
    </w:p>
    <w:p>
      <w:pPr>
        <w:tabs>
          <w:tab w:val="left" w:pos="0"/>
          <w:tab w:val="left" w:pos="284"/>
        </w:tabs>
        <w:ind w:firstLine="567"/>
        <w:jc w:val="both"/>
        <w:rPr>
          <w:bCs/>
          <w:sz w:val="28"/>
          <w:szCs w:val="28"/>
        </w:rPr>
      </w:pPr>
      <w:r>
        <w:rPr>
          <w:bCs/>
          <w:sz w:val="28"/>
          <w:szCs w:val="28"/>
        </w:rPr>
        <w:t xml:space="preserve">63.99 Надання інших інформаційних послуг, </w:t>
      </w:r>
      <w:proofErr w:type="spellStart"/>
      <w:r>
        <w:rPr>
          <w:bCs/>
          <w:sz w:val="28"/>
          <w:szCs w:val="28"/>
        </w:rPr>
        <w:t>н.в.і.у</w:t>
      </w:r>
      <w:proofErr w:type="spellEnd"/>
      <w:r>
        <w:rPr>
          <w:bCs/>
          <w:sz w:val="28"/>
          <w:szCs w:val="28"/>
        </w:rPr>
        <w:t>.;</w:t>
      </w:r>
    </w:p>
    <w:p>
      <w:pPr>
        <w:tabs>
          <w:tab w:val="left" w:pos="0"/>
          <w:tab w:val="left" w:pos="284"/>
        </w:tabs>
        <w:ind w:firstLine="567"/>
        <w:jc w:val="both"/>
        <w:rPr>
          <w:bCs/>
          <w:sz w:val="28"/>
          <w:szCs w:val="28"/>
        </w:rPr>
      </w:pPr>
      <w:r>
        <w:rPr>
          <w:bCs/>
          <w:sz w:val="28"/>
          <w:szCs w:val="28"/>
        </w:rPr>
        <w:t>66.11 Управління фінансовими ринками;</w:t>
      </w:r>
    </w:p>
    <w:p>
      <w:pPr>
        <w:tabs>
          <w:tab w:val="left" w:pos="0"/>
          <w:tab w:val="left" w:pos="284"/>
        </w:tabs>
        <w:ind w:firstLine="567"/>
        <w:jc w:val="both"/>
        <w:rPr>
          <w:bCs/>
          <w:sz w:val="28"/>
          <w:szCs w:val="28"/>
        </w:rPr>
      </w:pPr>
      <w:r>
        <w:rPr>
          <w:bCs/>
          <w:sz w:val="28"/>
          <w:szCs w:val="28"/>
        </w:rPr>
        <w:t>66.12 Посередництво за договорами по цінних паперах або товарах;</w:t>
      </w:r>
    </w:p>
    <w:p>
      <w:pPr>
        <w:widowControl w:val="0"/>
        <w:ind w:firstLine="567"/>
        <w:jc w:val="both"/>
        <w:rPr>
          <w:sz w:val="28"/>
          <w:szCs w:val="28"/>
          <w:lang w:eastAsia="zh-CN"/>
        </w:rPr>
      </w:pPr>
      <w:r>
        <w:rPr>
          <w:rFonts w:eastAsia="DejaVu Sans"/>
          <w:bCs/>
          <w:sz w:val="28"/>
          <w:szCs w:val="28"/>
          <w:lang w:eastAsia="uk-UA" w:bidi="uk-UA"/>
        </w:rPr>
        <w:t>85.60 Допоміжна діяльність у сфері освіти.</w:t>
      </w:r>
    </w:p>
    <w:p>
      <w:pPr>
        <w:tabs>
          <w:tab w:val="left" w:pos="0"/>
          <w:tab w:val="left" w:pos="284"/>
        </w:tabs>
        <w:jc w:val="both"/>
        <w:rPr>
          <w:bCs/>
          <w:sz w:val="28"/>
          <w:szCs w:val="28"/>
        </w:rPr>
      </w:pPr>
    </w:p>
    <w:p>
      <w:pPr>
        <w:tabs>
          <w:tab w:val="left" w:pos="0"/>
        </w:tabs>
        <w:suppressAutoHyphens/>
        <w:spacing w:after="120" w:line="276" w:lineRule="auto"/>
        <w:jc w:val="center"/>
        <w:rPr>
          <w:b/>
          <w:sz w:val="28"/>
          <w:szCs w:val="28"/>
          <w:lang w:eastAsia="zh-CN"/>
        </w:rPr>
      </w:pPr>
      <w:r>
        <w:rPr>
          <w:b/>
          <w:bCs/>
          <w:sz w:val="28"/>
          <w:szCs w:val="28"/>
          <w:lang w:eastAsia="zh-CN"/>
        </w:rPr>
        <w:lastRenderedPageBreak/>
        <w:t>ІІ. Фінансові цілі діяльності АТ «Оператор ринку»</w:t>
      </w:r>
    </w:p>
    <w:p>
      <w:pPr>
        <w:ind w:firstLine="567"/>
        <w:jc w:val="both"/>
        <w:rPr>
          <w:b/>
          <w:bCs/>
          <w:i/>
          <w:iCs/>
          <w:sz w:val="28"/>
          <w:szCs w:val="28"/>
        </w:rPr>
      </w:pPr>
      <w:r>
        <w:rPr>
          <w:b/>
          <w:bCs/>
          <w:i/>
          <w:iCs/>
          <w:sz w:val="28"/>
          <w:szCs w:val="28"/>
        </w:rPr>
        <w:t>1. Одержання прибутку від провадження господарської діяльності для задоволення інтересів акціонерів.</w:t>
      </w:r>
    </w:p>
    <w:p>
      <w:pPr>
        <w:pStyle w:val="a6"/>
        <w:ind w:firstLine="567"/>
        <w:jc w:val="both"/>
        <w:rPr>
          <w:rFonts w:ascii="Times New Roman" w:eastAsiaTheme="minorHAnsi" w:hAnsi="Times New Roman" w:cs="Times New Roman"/>
          <w:color w:val="000000" w:themeColor="text1"/>
          <w:kern w:val="2"/>
          <w:sz w:val="28"/>
          <w:szCs w:val="28"/>
          <w:lang w:eastAsia="en-US"/>
          <w14:ligatures w14:val="standardContextual"/>
        </w:rPr>
      </w:pPr>
      <w:r>
        <w:rPr>
          <w:rFonts w:ascii="Times New Roman" w:hAnsi="Times New Roman" w:cs="Times New Roman"/>
          <w:color w:val="000000" w:themeColor="text1"/>
          <w:kern w:val="2"/>
          <w:sz w:val="28"/>
          <w:szCs w:val="28"/>
          <w:lang w:eastAsia="en-US"/>
          <w14:ligatures w14:val="standardContextual"/>
        </w:rPr>
        <w:t>Однією із основних цілей діяльності Товариства, визначених у Статуті, є одержання прибутку від провадження господарської діяльності для задоволення інтересів акціонера  Товариства в межах і на умовах, визначених законодавством та Статутом. Показниками, які характеризують здатність Товариства створювати необхідний прибуток у процесі своєї господарської діяльності, є коефіцієнти рентабельності. Значення показників рентабельності зазначено у розділі I «Фінансові показники» таблиці «Цільові показники ефективності АТ «Оператор ринку».</w:t>
      </w:r>
    </w:p>
    <w:p>
      <w:pPr>
        <w:ind w:firstLine="567"/>
        <w:jc w:val="both"/>
        <w:rPr>
          <w:color w:val="000000" w:themeColor="text1"/>
          <w:kern w:val="2"/>
          <w:sz w:val="28"/>
          <w:szCs w:val="28"/>
          <w:lang w:eastAsia="en-US"/>
          <w14:ligatures w14:val="standardContextual"/>
        </w:rPr>
      </w:pPr>
      <w:r>
        <w:rPr>
          <w:color w:val="000000" w:themeColor="text1"/>
          <w:kern w:val="2"/>
          <w:sz w:val="28"/>
          <w:szCs w:val="28"/>
          <w:lang w:eastAsia="en-US"/>
          <w14:ligatures w14:val="standardContextual"/>
        </w:rPr>
        <w:t>Під час планування прибутку Товариства та рівня рентабельності враховуються обмеження (зокрема, рівень прибутку), встановлені Правилами ринків РДН та ВДР, затвердженими постановою Національної комісії, що здійснює державне регулювання у сферах енергетики та комунальних послуг, від 14 березня 2018 року № 308.</w:t>
      </w:r>
    </w:p>
    <w:p>
      <w:pPr>
        <w:widowControl w:val="0"/>
        <w:tabs>
          <w:tab w:val="left" w:pos="567"/>
          <w:tab w:val="left" w:pos="1134"/>
        </w:tabs>
        <w:ind w:firstLine="567"/>
        <w:jc w:val="both"/>
        <w:rPr>
          <w:rFonts w:eastAsia="DejaVu Sans"/>
          <w:color w:val="000000" w:themeColor="text1"/>
          <w:sz w:val="28"/>
          <w:szCs w:val="28"/>
          <w:lang w:eastAsia="uk-UA" w:bidi="uk-UA"/>
        </w:rPr>
      </w:pPr>
      <w:r>
        <w:rPr>
          <w:rFonts w:eastAsia="DejaVu Sans"/>
          <w:color w:val="000000" w:themeColor="text1"/>
          <w:sz w:val="28"/>
          <w:szCs w:val="28"/>
          <w:lang w:eastAsia="uk-UA" w:bidi="uk-UA"/>
        </w:rPr>
        <w:t>Досягнення окремих операційних показників, запланованих від реалізації операційної цілі «Організація та проведення електронних аукціонів з купівлі-продажу електричної енергії на товарних біржах (за двосторонніми договорами)» можливе за умови отримання Товариством відповідної  ліцензії Національної комісії з цінних паперів та фондового ринку на провадження професійної діяльності на організованих товарних ринках – діяльності з організації торгівлі продукцією на товарних біржах та набуття статусу товарної біржі.</w:t>
      </w:r>
      <w:r>
        <w:rPr>
          <w:rFonts w:eastAsiaTheme="minorEastAsia"/>
          <w:color w:val="000000" w:themeColor="text1"/>
          <w:sz w:val="28"/>
          <w:szCs w:val="28"/>
          <w:lang w:eastAsia="uk-UA" w:bidi="uk-UA"/>
        </w:rPr>
        <w:t xml:space="preserve"> </w:t>
      </w:r>
    </w:p>
    <w:p>
      <w:pPr>
        <w:pStyle w:val="a6"/>
        <w:ind w:firstLine="567"/>
        <w:jc w:val="both"/>
        <w:rPr>
          <w:rFonts w:ascii="Times New Roman" w:hAnsi="Times New Roman" w:cs="Times New Roman"/>
          <w:color w:val="auto"/>
          <w:sz w:val="28"/>
          <w:szCs w:val="28"/>
        </w:rPr>
      </w:pPr>
      <w:r>
        <w:rPr>
          <w:rFonts w:ascii="Times New Roman" w:eastAsia="Times New Roman" w:hAnsi="Times New Roman" w:cs="Times New Roman"/>
          <w:color w:val="auto"/>
          <w:sz w:val="28"/>
          <w:szCs w:val="28"/>
        </w:rPr>
        <w:t xml:space="preserve">  </w:t>
      </w:r>
    </w:p>
    <w:p>
      <w:pPr>
        <w:ind w:firstLine="567"/>
        <w:jc w:val="both"/>
        <w:rPr>
          <w:b/>
          <w:bCs/>
          <w:sz w:val="28"/>
          <w:szCs w:val="28"/>
        </w:rPr>
      </w:pPr>
      <w:r>
        <w:rPr>
          <w:b/>
          <w:bCs/>
          <w:i/>
          <w:iCs/>
          <w:sz w:val="28"/>
          <w:szCs w:val="28"/>
        </w:rPr>
        <w:t>2. Ефективне використання власного капіталу Товариства.</w:t>
      </w:r>
      <w:r>
        <w:rPr>
          <w:b/>
          <w:bCs/>
          <w:sz w:val="28"/>
          <w:szCs w:val="28"/>
        </w:rPr>
        <w:t xml:space="preserve"> </w:t>
      </w:r>
    </w:p>
    <w:p>
      <w:pPr>
        <w:ind w:firstLine="567"/>
        <w:jc w:val="both"/>
        <w:rPr>
          <w:color w:val="000000" w:themeColor="text1"/>
          <w:kern w:val="2"/>
          <w:sz w:val="28"/>
          <w:szCs w:val="28"/>
          <w:lang w:eastAsia="en-US"/>
          <w14:ligatures w14:val="standardContextual"/>
        </w:rPr>
      </w:pPr>
      <w:r>
        <w:rPr>
          <w:color w:val="000000" w:themeColor="text1"/>
          <w:kern w:val="2"/>
          <w:sz w:val="28"/>
          <w:szCs w:val="28"/>
          <w:lang w:eastAsia="en-US"/>
          <w14:ligatures w14:val="standardContextual"/>
        </w:rPr>
        <w:t xml:space="preserve">У своїй діяльності Товариство керується законодавством, Статутом Товариства та принципами економічної доцільності задля досягнення основної мети – отримання прибутку. </w:t>
      </w:r>
    </w:p>
    <w:p>
      <w:pPr>
        <w:ind w:firstLine="567"/>
        <w:jc w:val="both"/>
        <w:rPr>
          <w:rFonts w:eastAsiaTheme="minorHAnsi"/>
          <w:color w:val="000000" w:themeColor="text1"/>
          <w:kern w:val="2"/>
          <w:sz w:val="28"/>
          <w:szCs w:val="28"/>
          <w:lang w:eastAsia="en-US"/>
          <w14:ligatures w14:val="standardContextual"/>
        </w:rPr>
      </w:pPr>
      <w:r>
        <w:rPr>
          <w:color w:val="000000" w:themeColor="text1"/>
          <w:kern w:val="2"/>
          <w:sz w:val="28"/>
          <w:szCs w:val="28"/>
          <w:lang w:eastAsia="en-US"/>
          <w14:ligatures w14:val="standardContextual"/>
        </w:rPr>
        <w:t>У процесі здійснення господарської діяльності АТ «Оператор ринку» генерує власний капітал, який необхідно підтримувати на достатньому рівні для подальшої можливості розвитку Товариства. Критерієм, що характеризує ефективність використання власного капіталу, є коефіцієнт рентабельності власного капіталу.</w:t>
      </w:r>
      <w:r>
        <w:rPr>
          <w:rFonts w:eastAsiaTheme="minorHAnsi"/>
          <w:color w:val="000000" w:themeColor="text1"/>
          <w:kern w:val="2"/>
          <w:sz w:val="28"/>
          <w:szCs w:val="28"/>
          <w:lang w:eastAsia="en-US"/>
          <w14:ligatures w14:val="standardContextual"/>
        </w:rPr>
        <w:t xml:space="preserve"> </w:t>
      </w:r>
    </w:p>
    <w:p>
      <w:pPr>
        <w:ind w:firstLine="567"/>
        <w:jc w:val="both"/>
        <w:rPr>
          <w:rFonts w:eastAsiaTheme="minorHAnsi"/>
          <w:color w:val="000000" w:themeColor="text1"/>
          <w:kern w:val="2"/>
          <w:sz w:val="28"/>
          <w:szCs w:val="28"/>
          <w:lang w:eastAsia="en-US"/>
          <w14:ligatures w14:val="standardContextual"/>
        </w:rPr>
      </w:pPr>
      <w:r>
        <w:rPr>
          <w:color w:val="000000" w:themeColor="text1"/>
          <w:kern w:val="2"/>
          <w:sz w:val="28"/>
          <w:szCs w:val="28"/>
          <w:lang w:eastAsia="en-US"/>
          <w14:ligatures w14:val="standardContextual"/>
        </w:rPr>
        <w:t>Значення показника рентабельності власного капіталу зазначено у розділі I «Фінансові показники» таблиці «Цільові показники ефективності АТ «Оператор ринку».</w:t>
      </w:r>
    </w:p>
    <w:p>
      <w:pPr>
        <w:pStyle w:val="a6"/>
        <w:ind w:firstLine="567"/>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 </w:t>
      </w:r>
    </w:p>
    <w:p>
      <w:pPr>
        <w:pStyle w:val="a6"/>
        <w:ind w:firstLine="567"/>
        <w:jc w:val="both"/>
        <w:rPr>
          <w:rFonts w:ascii="Times New Roman" w:hAnsi="Times New Roman" w:cs="Times New Roman"/>
          <w:b/>
          <w:bCs/>
          <w:i/>
          <w:iCs/>
          <w:color w:val="auto"/>
          <w:sz w:val="28"/>
          <w:szCs w:val="28"/>
        </w:rPr>
      </w:pPr>
      <w:r>
        <w:rPr>
          <w:rFonts w:ascii="Times New Roman" w:eastAsia="Times New Roman" w:hAnsi="Times New Roman" w:cs="Times New Roman"/>
          <w:b/>
          <w:bCs/>
          <w:i/>
          <w:iCs/>
          <w:color w:val="auto"/>
          <w:sz w:val="28"/>
          <w:szCs w:val="28"/>
        </w:rPr>
        <w:t>3.</w:t>
      </w:r>
      <w:r>
        <w:rPr>
          <w:rFonts w:ascii="Times New Roman" w:eastAsia="Times New Roman" w:hAnsi="Times New Roman" w:cs="Times New Roman"/>
          <w:color w:val="auto"/>
          <w:sz w:val="28"/>
          <w:szCs w:val="28"/>
        </w:rPr>
        <w:t> </w:t>
      </w:r>
      <w:r>
        <w:rPr>
          <w:rFonts w:ascii="Times New Roman" w:eastAsia="Times New Roman" w:hAnsi="Times New Roman" w:cs="Times New Roman"/>
          <w:b/>
          <w:bCs/>
          <w:i/>
          <w:iCs/>
          <w:color w:val="auto"/>
          <w:sz w:val="28"/>
          <w:szCs w:val="28"/>
        </w:rPr>
        <w:t>Забезпечення стійкого фінансового стану Товариства.</w:t>
      </w:r>
    </w:p>
    <w:p>
      <w:pPr>
        <w:ind w:firstLine="567"/>
        <w:jc w:val="both"/>
        <w:rPr>
          <w:rFonts w:eastAsia="DejaVu Sans"/>
          <w:color w:val="000000" w:themeColor="text1"/>
          <w:sz w:val="28"/>
          <w:szCs w:val="28"/>
          <w:lang w:eastAsia="uk-UA" w:bidi="uk-UA"/>
        </w:rPr>
      </w:pPr>
      <w:r>
        <w:rPr>
          <w:rFonts w:eastAsia="DejaVu Sans"/>
          <w:color w:val="000000" w:themeColor="text1"/>
          <w:sz w:val="28"/>
          <w:szCs w:val="28"/>
          <w:lang w:eastAsia="uk-UA" w:bidi="uk-UA"/>
        </w:rPr>
        <w:t>Фінансова стійкість Товариства залежить від ефективного управління фінансовими ресурсами і визначається оптимальною структурою активів та джерел їх фінансування.</w:t>
      </w:r>
    </w:p>
    <w:p>
      <w:pPr>
        <w:ind w:firstLine="567"/>
        <w:jc w:val="both"/>
        <w:rPr>
          <w:color w:val="000000" w:themeColor="text1"/>
          <w:kern w:val="2"/>
          <w:sz w:val="28"/>
          <w:szCs w:val="28"/>
          <w:lang w:eastAsia="en-US"/>
          <w14:ligatures w14:val="standardContextual"/>
        </w:rPr>
      </w:pPr>
      <w:r>
        <w:rPr>
          <w:rFonts w:eastAsia="DejaVu Sans"/>
          <w:color w:val="000000" w:themeColor="text1"/>
          <w:sz w:val="28"/>
          <w:szCs w:val="28"/>
          <w:lang w:eastAsia="uk-UA" w:bidi="uk-UA"/>
        </w:rPr>
        <w:lastRenderedPageBreak/>
        <w:t>Одним із критеріїв оцінки фінансового стану Товариства є</w:t>
      </w:r>
      <w:r>
        <w:rPr>
          <w:color w:val="000000" w:themeColor="text1"/>
          <w:kern w:val="2"/>
          <w:sz w:val="28"/>
          <w:szCs w:val="28"/>
          <w:lang w:eastAsia="en-US"/>
          <w14:ligatures w14:val="standardContextual"/>
        </w:rPr>
        <w:t xml:space="preserve"> його платоспроможність та ліквідність, які характеризують здатність Товариства погашати свої зобов’язання. </w:t>
      </w:r>
    </w:p>
    <w:p>
      <w:pPr>
        <w:widowControl w:val="0"/>
        <w:ind w:firstLine="567"/>
        <w:jc w:val="both"/>
        <w:rPr>
          <w:rFonts w:eastAsia="DejaVu Sans"/>
          <w:color w:val="000000" w:themeColor="text1"/>
          <w:sz w:val="28"/>
          <w:szCs w:val="28"/>
          <w:lang w:eastAsia="uk-UA" w:bidi="uk-UA"/>
        </w:rPr>
      </w:pPr>
      <w:r>
        <w:rPr>
          <w:rFonts w:eastAsia="DejaVu Sans"/>
          <w:color w:val="000000" w:themeColor="text1"/>
          <w:sz w:val="28"/>
          <w:szCs w:val="28"/>
          <w:lang w:eastAsia="uk-UA" w:bidi="uk-UA"/>
        </w:rPr>
        <w:t xml:space="preserve">Під час розрахунку коефіцієнта фінансової стійкості враховуються поточні зобов’язання, левову частку яких складає кредиторська заборгованість за електричну енергію. Зважаючи на законодавчо установлені особливості організації купівлі-продажу електричної енергії на РДН та ВДР,  кредиторська заборгованість за електричну енергію повністю  погашається дебіторською заборгованістю за електричну енергію, оскільки Товариство використовує механізм </w:t>
      </w:r>
      <w:proofErr w:type="spellStart"/>
      <w:r>
        <w:rPr>
          <w:rFonts w:eastAsia="DejaVu Sans"/>
          <w:color w:val="000000" w:themeColor="text1"/>
          <w:sz w:val="28"/>
          <w:szCs w:val="28"/>
          <w:lang w:eastAsia="uk-UA" w:bidi="uk-UA"/>
        </w:rPr>
        <w:t>ескроу</w:t>
      </w:r>
      <w:proofErr w:type="spellEnd"/>
      <w:r>
        <w:rPr>
          <w:rFonts w:eastAsia="DejaVu Sans"/>
          <w:color w:val="000000" w:themeColor="text1"/>
          <w:sz w:val="28"/>
          <w:szCs w:val="28"/>
          <w:lang w:eastAsia="uk-UA" w:bidi="uk-UA"/>
        </w:rPr>
        <w:t xml:space="preserve"> рахунків (рахунки умовного зберігання). </w:t>
      </w:r>
    </w:p>
    <w:p>
      <w:pPr>
        <w:widowControl w:val="0"/>
        <w:ind w:firstLine="567"/>
        <w:jc w:val="both"/>
        <w:rPr>
          <w:rFonts w:eastAsia="DejaVu Sans"/>
          <w:color w:val="000000" w:themeColor="text1"/>
          <w:sz w:val="28"/>
          <w:szCs w:val="28"/>
          <w:lang w:eastAsia="uk-UA" w:bidi="uk-UA"/>
        </w:rPr>
      </w:pPr>
      <w:r>
        <w:rPr>
          <w:rFonts w:eastAsia="DejaVu Sans"/>
          <w:color w:val="000000" w:themeColor="text1"/>
          <w:sz w:val="28"/>
          <w:szCs w:val="28"/>
          <w:lang w:eastAsia="uk-UA" w:bidi="uk-UA"/>
        </w:rPr>
        <w:t>АТ «Оператор ринку», здійснюючи організацію торгів та забезпечуючи проведення розрахунків, не впливає на обсяги та ціни за куплену-продану електричну енергію, а тому не може впливати і на обсяги дебіторської та кредиторської заборгованостей за електричну енергію, яка утворюється в останній день звітного місяця. У зв’язку з цим, усі фінансові показники, пов’язані із дебіторською та кредиторською заборгованостями, здебільшого не залежать від управлінських рішень Товариства.</w:t>
      </w:r>
    </w:p>
    <w:p>
      <w:pPr>
        <w:ind w:firstLine="567"/>
        <w:jc w:val="both"/>
        <w:rPr>
          <w:rFonts w:eastAsiaTheme="minorHAnsi"/>
          <w:color w:val="000000" w:themeColor="text1"/>
          <w:kern w:val="2"/>
          <w:sz w:val="28"/>
          <w:szCs w:val="28"/>
          <w:lang w:eastAsia="en-US"/>
          <w14:ligatures w14:val="standardContextual"/>
        </w:rPr>
      </w:pPr>
      <w:r>
        <w:rPr>
          <w:color w:val="000000" w:themeColor="text1"/>
          <w:kern w:val="2"/>
          <w:sz w:val="28"/>
          <w:szCs w:val="28"/>
          <w:lang w:eastAsia="en-US"/>
          <w14:ligatures w14:val="standardContextual"/>
        </w:rPr>
        <w:t>Значення показників платоспроможності та ліквідності зазначено у розділі I «Фінансові показники» таблиці «Цільові показники ефективності АТ «Оператор ринку».</w:t>
      </w:r>
    </w:p>
    <w:p>
      <w:pPr>
        <w:pStyle w:val="a6"/>
        <w:jc w:val="both"/>
        <w:rPr>
          <w:rFonts w:ascii="Times New Roman" w:hAnsi="Times New Roman" w:cs="Times New Roman"/>
          <w:color w:val="auto"/>
          <w:sz w:val="28"/>
          <w:szCs w:val="28"/>
        </w:rPr>
      </w:pPr>
    </w:p>
    <w:p>
      <w:pPr>
        <w:pStyle w:val="a7"/>
        <w:ind w:left="0" w:firstLine="567"/>
        <w:jc w:val="both"/>
        <w:rPr>
          <w:b/>
          <w:bCs/>
          <w:i/>
          <w:iCs/>
          <w:sz w:val="28"/>
          <w:szCs w:val="28"/>
        </w:rPr>
      </w:pPr>
      <w:r>
        <w:rPr>
          <w:b/>
          <w:bCs/>
          <w:i/>
          <w:iCs/>
          <w:sz w:val="28"/>
          <w:szCs w:val="28"/>
        </w:rPr>
        <w:t>4. Своєчасна та в повному обсязі сплата дивідендів.</w:t>
      </w:r>
    </w:p>
    <w:p>
      <w:pPr>
        <w:ind w:firstLine="567"/>
        <w:jc w:val="both"/>
        <w:rPr>
          <w:color w:val="000000" w:themeColor="text1"/>
          <w:sz w:val="28"/>
          <w:szCs w:val="28"/>
        </w:rPr>
      </w:pPr>
      <w:r>
        <w:rPr>
          <w:color w:val="000000" w:themeColor="text1"/>
          <w:sz w:val="28"/>
          <w:szCs w:val="28"/>
        </w:rPr>
        <w:t>З моменту перетворення</w:t>
      </w:r>
      <w:r>
        <w:rPr>
          <w:sz w:val="28"/>
          <w:szCs w:val="28"/>
        </w:rPr>
        <w:t xml:space="preserve"> </w:t>
      </w:r>
      <w:r>
        <w:rPr>
          <w:color w:val="000000" w:themeColor="text1"/>
          <w:sz w:val="28"/>
          <w:szCs w:val="28"/>
        </w:rPr>
        <w:t>Державного підприємства «Оператор ринку» з державного підприємства в акціонерне товариство АТ «Оператор ринку» сплачує дивіденди у законодавчо встановлені терміни відповідно до прийнятих вищим органом управління рішень.</w:t>
      </w:r>
    </w:p>
    <w:p>
      <w:pPr>
        <w:widowControl w:val="0"/>
        <w:tabs>
          <w:tab w:val="left" w:pos="709"/>
        </w:tabs>
        <w:ind w:firstLine="567"/>
        <w:contextualSpacing/>
        <w:jc w:val="both"/>
        <w:rPr>
          <w:rFonts w:eastAsia="DejaVu Sans"/>
          <w:color w:val="000000" w:themeColor="text1"/>
          <w:sz w:val="28"/>
          <w:szCs w:val="28"/>
          <w:lang w:eastAsia="uk-UA" w:bidi="uk-UA"/>
        </w:rPr>
      </w:pPr>
      <w:r>
        <w:rPr>
          <w:rFonts w:eastAsia="DejaVu Sans"/>
          <w:bCs/>
          <w:color w:val="000000" w:themeColor="text1"/>
          <w:sz w:val="28"/>
          <w:szCs w:val="28"/>
          <w:lang w:eastAsia="uk-UA" w:bidi="uk-UA"/>
        </w:rPr>
        <w:t xml:space="preserve">У 2025 – 2027 роках Товариством заплановано сплату дивідендів на рівні 75% від планового чистого прибутку попереднього року (планування суми дивідендів здійснюється з врахуванням положень Державної дивідендної політики, затвердженої постановою Кабінету Міністрів України від 29 листопада 2024 року № 1369). </w:t>
      </w:r>
      <w:r>
        <w:rPr>
          <w:rFonts w:eastAsia="DejaVu Sans"/>
          <w:color w:val="000000" w:themeColor="text1"/>
          <w:sz w:val="28"/>
          <w:szCs w:val="28"/>
          <w:lang w:eastAsia="uk-UA" w:bidi="uk-UA"/>
        </w:rPr>
        <w:t xml:space="preserve">       </w:t>
      </w:r>
    </w:p>
    <w:p>
      <w:pPr>
        <w:widowControl w:val="0"/>
        <w:tabs>
          <w:tab w:val="left" w:pos="709"/>
        </w:tabs>
        <w:ind w:firstLine="567"/>
        <w:contextualSpacing/>
        <w:jc w:val="both"/>
        <w:rPr>
          <w:rFonts w:eastAsia="DejaVu Sans"/>
          <w:color w:val="000000" w:themeColor="text1"/>
          <w:sz w:val="28"/>
          <w:szCs w:val="28"/>
          <w:lang w:eastAsia="uk-UA" w:bidi="uk-UA"/>
        </w:rPr>
      </w:pPr>
      <w:r>
        <w:rPr>
          <w:rFonts w:eastAsia="DejaVu Sans"/>
          <w:color w:val="000000" w:themeColor="text1"/>
          <w:sz w:val="28"/>
          <w:szCs w:val="28"/>
          <w:lang w:eastAsia="uk-UA" w:bidi="uk-UA"/>
        </w:rPr>
        <w:t xml:space="preserve">Суми дивідендів, заплановані на 2025 – 2027 роки, визначено у розділі </w:t>
      </w:r>
      <w:r>
        <w:rPr>
          <w:rFonts w:eastAsia="DejaVu Sans"/>
          <w:color w:val="000000" w:themeColor="text1"/>
          <w:sz w:val="28"/>
          <w:szCs w:val="28"/>
          <w:lang w:val="en-US" w:eastAsia="uk-UA" w:bidi="uk-UA"/>
        </w:rPr>
        <w:t>I</w:t>
      </w:r>
      <w:r>
        <w:rPr>
          <w:rFonts w:eastAsia="DejaVu Sans"/>
          <w:color w:val="000000" w:themeColor="text1"/>
          <w:sz w:val="28"/>
          <w:szCs w:val="28"/>
          <w:lang w:eastAsia="uk-UA" w:bidi="uk-UA"/>
        </w:rPr>
        <w:t xml:space="preserve"> «Фінансові показники» таблиці «Цільові показники ефективності АТ «Оператор ринку».</w:t>
      </w:r>
    </w:p>
    <w:p>
      <w:pPr>
        <w:tabs>
          <w:tab w:val="left" w:pos="709"/>
        </w:tabs>
        <w:jc w:val="both"/>
        <w:rPr>
          <w:iCs/>
          <w:sz w:val="28"/>
          <w:szCs w:val="28"/>
          <w:lang w:eastAsia="zh-CN"/>
        </w:rPr>
      </w:pPr>
    </w:p>
    <w:p>
      <w:pPr>
        <w:tabs>
          <w:tab w:val="left" w:pos="1276"/>
        </w:tabs>
        <w:suppressAutoHyphens/>
        <w:spacing w:after="120" w:line="276" w:lineRule="auto"/>
        <w:jc w:val="center"/>
        <w:rPr>
          <w:b/>
          <w:sz w:val="28"/>
          <w:szCs w:val="28"/>
          <w:lang w:eastAsia="zh-CN"/>
        </w:rPr>
      </w:pPr>
      <w:r>
        <w:rPr>
          <w:b/>
          <w:sz w:val="28"/>
          <w:szCs w:val="28"/>
          <w:lang w:eastAsia="zh-CN"/>
        </w:rPr>
        <w:t>ІІІ. Операційні цілі діяльності АТ «Оператор ринку»</w:t>
      </w:r>
    </w:p>
    <w:p>
      <w:pPr>
        <w:tabs>
          <w:tab w:val="left" w:pos="851"/>
          <w:tab w:val="left" w:pos="1134"/>
        </w:tabs>
        <w:ind w:firstLine="567"/>
        <w:jc w:val="both"/>
        <w:rPr>
          <w:rFonts w:eastAsia="DejaVu Sans"/>
          <w:b/>
          <w:bCs/>
          <w:i/>
          <w:iCs/>
          <w:sz w:val="28"/>
          <w:szCs w:val="28"/>
        </w:rPr>
      </w:pPr>
      <w:r>
        <w:rPr>
          <w:b/>
          <w:bCs/>
          <w:i/>
          <w:iCs/>
          <w:sz w:val="28"/>
          <w:szCs w:val="28"/>
        </w:rPr>
        <w:t>1. Організація та проведення електронних аукціонів з купівлі-продажу електричної енергії на товарних біржах (за двосторонніми договорами).</w:t>
      </w:r>
    </w:p>
    <w:p>
      <w:pPr>
        <w:pStyle w:val="a6"/>
        <w:ind w:firstLine="567"/>
        <w:jc w:val="both"/>
        <w:rPr>
          <w:rFonts w:ascii="Times New Roman" w:eastAsia="Times New Roman" w:hAnsi="Times New Roman" w:cs="Times New Roman"/>
          <w:color w:val="auto"/>
          <w:sz w:val="28"/>
          <w:szCs w:val="28"/>
          <w:lang w:eastAsia="zh-CN" w:bidi="ar-SA"/>
        </w:rPr>
      </w:pPr>
      <w:r>
        <w:rPr>
          <w:rFonts w:ascii="Times New Roman" w:eastAsia="Times New Roman" w:hAnsi="Times New Roman" w:cs="Times New Roman"/>
          <w:color w:val="auto"/>
          <w:sz w:val="28"/>
          <w:szCs w:val="28"/>
          <w:lang w:eastAsia="zh-CN" w:bidi="ar-SA"/>
        </w:rPr>
        <w:t xml:space="preserve">Для реалізації зазначеної цілі Товариство забезпечить: </w:t>
      </w:r>
    </w:p>
    <w:p>
      <w:pPr>
        <w:pStyle w:val="a6"/>
        <w:ind w:firstLine="567"/>
        <w:jc w:val="both"/>
        <w:rPr>
          <w:rFonts w:ascii="Times New Roman" w:eastAsia="Times New Roman" w:hAnsi="Times New Roman" w:cs="Times New Roman"/>
          <w:color w:val="auto"/>
          <w:sz w:val="28"/>
          <w:szCs w:val="28"/>
          <w:lang w:eastAsia="zh-CN" w:bidi="ar-SA"/>
        </w:rPr>
      </w:pPr>
      <w:r>
        <w:rPr>
          <w:rFonts w:ascii="Times New Roman" w:eastAsia="Times New Roman" w:hAnsi="Times New Roman" w:cs="Times New Roman"/>
          <w:color w:val="auto"/>
          <w:sz w:val="28"/>
          <w:szCs w:val="28"/>
          <w:lang w:eastAsia="zh-CN" w:bidi="ar-SA"/>
        </w:rPr>
        <w:t xml:space="preserve">розробку/ затвердження/внесення змін до внутрішніх документів Товариства (правил, положень, порядків, регламентів тощо) щодо діяльності Товариства як товарної біржі відповідно до вимог нормативно-правових актів </w:t>
      </w:r>
      <w:bookmarkStart w:id="7" w:name="_Hlk187076312"/>
      <w:r>
        <w:rPr>
          <w:rFonts w:ascii="Times New Roman" w:eastAsia="Times New Roman" w:hAnsi="Times New Roman" w:cs="Times New Roman"/>
          <w:color w:val="auto"/>
          <w:sz w:val="28"/>
          <w:szCs w:val="28"/>
          <w:lang w:eastAsia="zh-CN" w:bidi="ar-SA"/>
        </w:rPr>
        <w:t>Національної комісії з цінних паперів та фондового ринку</w:t>
      </w:r>
      <w:bookmarkEnd w:id="7"/>
      <w:r>
        <w:rPr>
          <w:rFonts w:ascii="Times New Roman" w:eastAsia="Times New Roman" w:hAnsi="Times New Roman" w:cs="Times New Roman"/>
          <w:color w:val="auto"/>
          <w:sz w:val="28"/>
          <w:szCs w:val="28"/>
          <w:lang w:eastAsia="zh-CN" w:bidi="ar-SA"/>
        </w:rPr>
        <w:t>;</w:t>
      </w:r>
    </w:p>
    <w:p>
      <w:pPr>
        <w:pStyle w:val="a6"/>
        <w:ind w:firstLine="567"/>
        <w:jc w:val="both"/>
        <w:rPr>
          <w:rFonts w:ascii="Times New Roman" w:eastAsia="Times New Roman" w:hAnsi="Times New Roman" w:cs="Times New Roman"/>
          <w:color w:val="auto"/>
          <w:sz w:val="28"/>
          <w:szCs w:val="28"/>
          <w:lang w:eastAsia="zh-CN" w:bidi="ar-SA"/>
        </w:rPr>
      </w:pPr>
      <w:r>
        <w:rPr>
          <w:rFonts w:ascii="Times New Roman" w:eastAsia="Times New Roman" w:hAnsi="Times New Roman" w:cs="Times New Roman"/>
          <w:color w:val="auto"/>
          <w:sz w:val="28"/>
          <w:szCs w:val="28"/>
          <w:lang w:eastAsia="zh-CN" w:bidi="ar-SA"/>
        </w:rPr>
        <w:t xml:space="preserve">отримання ліцензії на провадження професійної діяльності на організованих </w:t>
      </w:r>
      <w:r>
        <w:rPr>
          <w:rFonts w:ascii="Times New Roman" w:eastAsia="Times New Roman" w:hAnsi="Times New Roman" w:cs="Times New Roman"/>
          <w:color w:val="auto"/>
          <w:sz w:val="28"/>
          <w:szCs w:val="28"/>
          <w:lang w:eastAsia="zh-CN" w:bidi="ar-SA"/>
        </w:rPr>
        <w:lastRenderedPageBreak/>
        <w:t>товарних ринках (діяльності з організації торгівлі продукцією на товарних біржах) за умови внесення змін Національною комісією з цінних паперів та фондового ринку до Ліцензійних умов провадження професійної діяльності на організованих товарних ринках в частині виключення вимоги щодо подання заявником документів стосовно власників істотної участі, якими є держава, Національний банк України, територіальна громада, що підтверджують здатність власника істотної участі виконати обов’язок, передбачений частиною дев’ятнадцятою статті 74 Закону України «Про ринки капіталу та організовані товарні ринки», або за наявності інших можливостей гарантувати виконання зобов’язань ліцензіатом, які не обмежують права підприємств власником істотної участі яких є держава, в тому числі за наявності можливості гарантувати свої зобов’язання активами Товариства та за умови надання рівних можливостей для доступу осіб, що мають намір провадити професійну діяльність на ринках капіталу та організованих товарних ринках (як для приватного, так і для державного сектору економіки).</w:t>
      </w:r>
    </w:p>
    <w:p>
      <w:pPr>
        <w:pStyle w:val="a6"/>
        <w:jc w:val="both"/>
        <w:rPr>
          <w:rFonts w:ascii="Times New Roman" w:hAnsi="Times New Roman" w:cs="Times New Roman"/>
          <w:color w:val="auto"/>
          <w:sz w:val="28"/>
          <w:szCs w:val="28"/>
          <w:lang w:eastAsia="zh-CN" w:bidi="ar-SA"/>
        </w:rPr>
      </w:pPr>
    </w:p>
    <w:p>
      <w:pPr>
        <w:pStyle w:val="a6"/>
        <w:ind w:firstLine="567"/>
        <w:jc w:val="both"/>
        <w:rPr>
          <w:rFonts w:ascii="Times New Roman" w:hAnsi="Times New Roman" w:cs="Times New Roman"/>
          <w:b/>
          <w:bCs/>
          <w:i/>
          <w:iCs/>
          <w:color w:val="auto"/>
          <w:sz w:val="28"/>
          <w:szCs w:val="28"/>
          <w:lang w:eastAsia="zh-CN" w:bidi="ar-SA"/>
        </w:rPr>
      </w:pPr>
      <w:r>
        <w:rPr>
          <w:rFonts w:ascii="Times New Roman" w:hAnsi="Times New Roman" w:cs="Times New Roman"/>
          <w:b/>
          <w:bCs/>
          <w:i/>
          <w:iCs/>
          <w:color w:val="auto"/>
          <w:sz w:val="28"/>
          <w:szCs w:val="28"/>
          <w:lang w:eastAsia="zh-CN" w:bidi="ar-SA"/>
        </w:rPr>
        <w:t>2. Надання інформаційно-консультативних послуг учасникам ринку та розширення кількості отримувачів таких послуг.</w:t>
      </w:r>
    </w:p>
    <w:p>
      <w:pPr>
        <w:pStyle w:val="a6"/>
        <w:ind w:firstLine="567"/>
        <w:jc w:val="both"/>
        <w:rPr>
          <w:rFonts w:ascii="Times New Roman" w:eastAsia="Times New Roman" w:hAnsi="Times New Roman" w:cs="Times New Roman"/>
          <w:color w:val="auto"/>
          <w:sz w:val="28"/>
          <w:szCs w:val="28"/>
          <w:lang w:eastAsia="zh-CN" w:bidi="ar-SA"/>
        </w:rPr>
      </w:pPr>
      <w:r>
        <w:rPr>
          <w:rFonts w:ascii="Times New Roman" w:eastAsia="Times New Roman" w:hAnsi="Times New Roman" w:cs="Times New Roman"/>
          <w:color w:val="auto"/>
          <w:sz w:val="28"/>
          <w:szCs w:val="28"/>
          <w:lang w:eastAsia="zh-CN" w:bidi="ar-SA"/>
        </w:rPr>
        <w:t>З метою надання належного рівня інформаційно-консультативних послуг учасникам ринку та розширення кількості отримувачів таких послуг Товариство:</w:t>
      </w:r>
    </w:p>
    <w:p>
      <w:pPr>
        <w:pStyle w:val="a6"/>
        <w:ind w:firstLine="567"/>
        <w:jc w:val="both"/>
        <w:rPr>
          <w:rFonts w:ascii="Times New Roman" w:eastAsia="Times New Roman" w:hAnsi="Times New Roman" w:cs="Times New Roman"/>
          <w:color w:val="auto"/>
          <w:sz w:val="28"/>
          <w:szCs w:val="28"/>
          <w:lang w:eastAsia="zh-CN" w:bidi="ar-SA"/>
        </w:rPr>
      </w:pPr>
      <w:r>
        <w:rPr>
          <w:rFonts w:ascii="Times New Roman" w:eastAsia="Times New Roman" w:hAnsi="Times New Roman" w:cs="Times New Roman"/>
          <w:color w:val="auto"/>
          <w:sz w:val="28"/>
          <w:szCs w:val="28"/>
          <w:lang w:eastAsia="zh-CN" w:bidi="ar-SA"/>
        </w:rPr>
        <w:t xml:space="preserve">надаватиме інформаційно-консультативні послуги шляхом доступу на </w:t>
      </w:r>
      <w:proofErr w:type="spellStart"/>
      <w:r>
        <w:rPr>
          <w:rFonts w:ascii="Times New Roman" w:eastAsia="Times New Roman" w:hAnsi="Times New Roman" w:cs="Times New Roman"/>
          <w:color w:val="auto"/>
          <w:sz w:val="28"/>
          <w:szCs w:val="28"/>
          <w:lang w:eastAsia="zh-CN" w:bidi="ar-SA"/>
        </w:rPr>
        <w:t>вебсайті</w:t>
      </w:r>
      <w:proofErr w:type="spellEnd"/>
      <w:r>
        <w:rPr>
          <w:rFonts w:ascii="Times New Roman" w:eastAsia="Times New Roman" w:hAnsi="Times New Roman" w:cs="Times New Roman"/>
          <w:color w:val="auto"/>
          <w:sz w:val="28"/>
          <w:szCs w:val="28"/>
          <w:lang w:eastAsia="zh-CN" w:bidi="ar-SA"/>
        </w:rPr>
        <w:t xml:space="preserve"> Товариства до аналітичної інформації про ринок електричної енергії України;</w:t>
      </w:r>
    </w:p>
    <w:p>
      <w:pPr>
        <w:pStyle w:val="a6"/>
        <w:ind w:firstLine="567"/>
        <w:jc w:val="both"/>
        <w:rPr>
          <w:rFonts w:ascii="Times New Roman" w:eastAsia="Times New Roman" w:hAnsi="Times New Roman" w:cs="Times New Roman"/>
          <w:color w:val="auto"/>
          <w:sz w:val="28"/>
          <w:szCs w:val="28"/>
          <w:lang w:eastAsia="zh-CN" w:bidi="ar-SA"/>
        </w:rPr>
      </w:pPr>
      <w:r>
        <w:rPr>
          <w:rFonts w:ascii="Times New Roman" w:eastAsia="Times New Roman" w:hAnsi="Times New Roman" w:cs="Times New Roman"/>
          <w:color w:val="auto"/>
          <w:sz w:val="28"/>
          <w:szCs w:val="28"/>
          <w:lang w:eastAsia="zh-CN" w:bidi="ar-SA"/>
        </w:rPr>
        <w:t>проводитиме заходи з надання інформаційно-консультативних послуг щодо роботи на ринку електричної енергії України.</w:t>
      </w:r>
    </w:p>
    <w:p>
      <w:pPr>
        <w:pStyle w:val="a6"/>
        <w:ind w:firstLine="567"/>
        <w:jc w:val="both"/>
        <w:rPr>
          <w:rFonts w:ascii="Times New Roman" w:eastAsia="Times New Roman" w:hAnsi="Times New Roman" w:cs="Times New Roman"/>
          <w:color w:val="auto"/>
          <w:sz w:val="28"/>
          <w:szCs w:val="28"/>
          <w:lang w:eastAsia="zh-CN" w:bidi="ar-SA"/>
        </w:rPr>
      </w:pPr>
      <w:r>
        <w:rPr>
          <w:rFonts w:ascii="Times New Roman" w:eastAsia="Times New Roman" w:hAnsi="Times New Roman" w:cs="Times New Roman"/>
          <w:color w:val="auto"/>
          <w:sz w:val="28"/>
          <w:szCs w:val="28"/>
          <w:lang w:eastAsia="zh-CN" w:bidi="ar-SA"/>
        </w:rPr>
        <w:t xml:space="preserve">У 2025 році планується надання інформаційно-консультативних послуг шляхом доступу до аналітичної інформації на </w:t>
      </w:r>
      <w:proofErr w:type="spellStart"/>
      <w:r>
        <w:rPr>
          <w:rFonts w:ascii="Times New Roman" w:eastAsia="Times New Roman" w:hAnsi="Times New Roman" w:cs="Times New Roman"/>
          <w:color w:val="auto"/>
          <w:sz w:val="28"/>
          <w:szCs w:val="28"/>
          <w:lang w:eastAsia="zh-CN" w:bidi="ar-SA"/>
        </w:rPr>
        <w:t>вебсайті</w:t>
      </w:r>
      <w:proofErr w:type="spellEnd"/>
      <w:r>
        <w:rPr>
          <w:rFonts w:ascii="Times New Roman" w:eastAsia="Times New Roman" w:hAnsi="Times New Roman" w:cs="Times New Roman"/>
          <w:color w:val="auto"/>
          <w:sz w:val="28"/>
          <w:szCs w:val="28"/>
          <w:lang w:eastAsia="zh-CN" w:bidi="ar-SA"/>
        </w:rPr>
        <w:t xml:space="preserve"> Товариства 6 отримувачам таких послуг (довідково: у 2026 році планується надати відповідні послуги 7 отримувачам послуг, у 2027 році – 8).</w:t>
      </w:r>
    </w:p>
    <w:p>
      <w:pPr>
        <w:pStyle w:val="a6"/>
        <w:ind w:firstLine="567"/>
        <w:jc w:val="both"/>
        <w:rPr>
          <w:rFonts w:ascii="Times New Roman" w:eastAsia="Times New Roman" w:hAnsi="Times New Roman" w:cs="Times New Roman"/>
          <w:color w:val="auto"/>
          <w:sz w:val="28"/>
          <w:szCs w:val="28"/>
          <w:lang w:eastAsia="zh-CN" w:bidi="ar-SA"/>
        </w:rPr>
      </w:pPr>
      <w:r>
        <w:rPr>
          <w:rFonts w:ascii="Times New Roman" w:eastAsia="Times New Roman" w:hAnsi="Times New Roman" w:cs="Times New Roman"/>
          <w:color w:val="auto"/>
          <w:sz w:val="28"/>
          <w:szCs w:val="28"/>
          <w:lang w:eastAsia="zh-CN" w:bidi="ar-SA"/>
        </w:rPr>
        <w:t>Інформаційно-консультативні послуги щодо роботи на ринку електричної енергії планується надати 85 отримувачам послуг у 2025 році (довідково: у              2026 році планується надати такі послуги 90 отримувачам послуг, у 2027 році – 93).</w:t>
      </w:r>
    </w:p>
    <w:p>
      <w:pPr>
        <w:pStyle w:val="a6"/>
        <w:ind w:firstLine="567"/>
        <w:jc w:val="both"/>
        <w:rPr>
          <w:rFonts w:ascii="Times New Roman" w:hAnsi="Times New Roman" w:cs="Times New Roman"/>
          <w:color w:val="auto"/>
          <w:sz w:val="28"/>
          <w:szCs w:val="28"/>
          <w:lang w:eastAsia="zh-CN" w:bidi="ar-SA"/>
        </w:rPr>
      </w:pPr>
    </w:p>
    <w:p>
      <w:pPr>
        <w:pStyle w:val="a6"/>
        <w:ind w:firstLine="567"/>
        <w:jc w:val="both"/>
        <w:rPr>
          <w:rFonts w:ascii="Times New Roman" w:hAnsi="Times New Roman" w:cs="Times New Roman"/>
          <w:b/>
          <w:bCs/>
          <w:i/>
          <w:iCs/>
          <w:color w:val="auto"/>
          <w:sz w:val="28"/>
          <w:szCs w:val="28"/>
        </w:rPr>
      </w:pPr>
      <w:r>
        <w:rPr>
          <w:rFonts w:ascii="Times New Roman" w:hAnsi="Times New Roman" w:cs="Times New Roman"/>
          <w:b/>
          <w:bCs/>
          <w:i/>
          <w:iCs/>
          <w:color w:val="auto"/>
          <w:sz w:val="28"/>
          <w:szCs w:val="28"/>
        </w:rPr>
        <w:t xml:space="preserve">3. Здійснення капітальних інвестицій, які передбачені інвестиційним планом Товариства, зокрема, виконання </w:t>
      </w:r>
      <w:proofErr w:type="spellStart"/>
      <w:r>
        <w:rPr>
          <w:rFonts w:ascii="Times New Roman" w:hAnsi="Times New Roman" w:cs="Times New Roman"/>
          <w:b/>
          <w:bCs/>
          <w:i/>
          <w:iCs/>
          <w:color w:val="auto"/>
          <w:sz w:val="28"/>
          <w:szCs w:val="28"/>
        </w:rPr>
        <w:t>проєктів</w:t>
      </w:r>
      <w:proofErr w:type="spellEnd"/>
      <w:r>
        <w:rPr>
          <w:rFonts w:ascii="Times New Roman" w:hAnsi="Times New Roman" w:cs="Times New Roman"/>
          <w:b/>
          <w:bCs/>
          <w:i/>
          <w:iCs/>
          <w:color w:val="auto"/>
          <w:sz w:val="28"/>
          <w:szCs w:val="28"/>
        </w:rPr>
        <w:t>, пов’язаних із забезпеченням здійснення функцій Оператора ринку та розвитку Товариства.</w:t>
      </w:r>
    </w:p>
    <w:p>
      <w:pPr>
        <w:ind w:firstLine="567"/>
        <w:jc w:val="both"/>
        <w:rPr>
          <w:sz w:val="28"/>
          <w:szCs w:val="28"/>
        </w:rPr>
      </w:pPr>
      <w:r>
        <w:rPr>
          <w:sz w:val="28"/>
          <w:szCs w:val="28"/>
        </w:rPr>
        <w:t>У 2024 – 2026 роках планується інвестувати в:</w:t>
      </w:r>
    </w:p>
    <w:p>
      <w:pPr>
        <w:ind w:firstLine="567"/>
        <w:jc w:val="both"/>
        <w:rPr>
          <w:sz w:val="28"/>
          <w:szCs w:val="28"/>
        </w:rPr>
      </w:pPr>
      <w:r>
        <w:rPr>
          <w:sz w:val="28"/>
          <w:szCs w:val="28"/>
        </w:rPr>
        <w:t>придбання основних засобів  – 56,1 млн грн;</w:t>
      </w:r>
    </w:p>
    <w:p>
      <w:pPr>
        <w:ind w:firstLine="567"/>
        <w:jc w:val="both"/>
        <w:rPr>
          <w:sz w:val="28"/>
          <w:szCs w:val="28"/>
        </w:rPr>
      </w:pPr>
      <w:r>
        <w:rPr>
          <w:sz w:val="28"/>
          <w:szCs w:val="28"/>
        </w:rPr>
        <w:t>придбання (створення) нематеріальних активів  – 18,2 млн грн;</w:t>
      </w:r>
    </w:p>
    <w:p>
      <w:pPr>
        <w:ind w:firstLine="567"/>
        <w:jc w:val="both"/>
        <w:rPr>
          <w:sz w:val="28"/>
          <w:szCs w:val="28"/>
        </w:rPr>
      </w:pPr>
      <w:r>
        <w:rPr>
          <w:sz w:val="28"/>
          <w:szCs w:val="28"/>
        </w:rPr>
        <w:t>модернізацію – 32,4 млн гривень.</w:t>
      </w:r>
    </w:p>
    <w:p>
      <w:pPr>
        <w:ind w:firstLine="567"/>
        <w:jc w:val="both"/>
        <w:rPr>
          <w:sz w:val="28"/>
          <w:szCs w:val="28"/>
        </w:rPr>
      </w:pPr>
      <w:r>
        <w:rPr>
          <w:sz w:val="28"/>
          <w:szCs w:val="28"/>
        </w:rPr>
        <w:t>У 2027 році очікується здійснення інвестування у розвиток Товариства               35,3 млн гривень.</w:t>
      </w:r>
    </w:p>
    <w:p>
      <w:pPr>
        <w:ind w:firstLine="567"/>
        <w:jc w:val="both"/>
        <w:rPr>
          <w:sz w:val="28"/>
          <w:szCs w:val="28"/>
        </w:rPr>
      </w:pPr>
      <w:r>
        <w:rPr>
          <w:sz w:val="28"/>
          <w:szCs w:val="28"/>
        </w:rPr>
        <w:lastRenderedPageBreak/>
        <w:t>Джерелами фінансування капітальних вкладень будуть власні кошти Товариства (амортизаційні відрахування та прибуток).</w:t>
      </w:r>
    </w:p>
    <w:p>
      <w:pPr>
        <w:pStyle w:val="a6"/>
        <w:ind w:left="567" w:firstLine="567"/>
        <w:jc w:val="both"/>
        <w:rPr>
          <w:rFonts w:ascii="Times New Roman" w:hAnsi="Times New Roman" w:cs="Times New Roman"/>
          <w:b/>
          <w:bCs/>
          <w:i/>
          <w:iCs/>
          <w:color w:val="auto"/>
          <w:sz w:val="28"/>
          <w:szCs w:val="28"/>
        </w:rPr>
      </w:pPr>
    </w:p>
    <w:p>
      <w:pPr>
        <w:suppressAutoHyphens/>
        <w:spacing w:after="120" w:line="276" w:lineRule="auto"/>
        <w:jc w:val="center"/>
        <w:rPr>
          <w:b/>
          <w:sz w:val="28"/>
          <w:szCs w:val="28"/>
          <w:lang w:eastAsia="zh-CN"/>
        </w:rPr>
      </w:pPr>
      <w:r>
        <w:rPr>
          <w:b/>
          <w:sz w:val="28"/>
          <w:szCs w:val="28"/>
          <w:lang w:val="en-US" w:eastAsia="zh-CN"/>
        </w:rPr>
        <w:t>IV</w:t>
      </w:r>
      <w:r>
        <w:rPr>
          <w:b/>
          <w:sz w:val="28"/>
          <w:szCs w:val="28"/>
          <w:lang w:val="ru-RU" w:eastAsia="zh-CN"/>
        </w:rPr>
        <w:t>.</w:t>
      </w:r>
      <w:r>
        <w:rPr>
          <w:b/>
          <w:sz w:val="28"/>
          <w:szCs w:val="28"/>
          <w:lang w:val="en-US" w:eastAsia="zh-CN"/>
        </w:rPr>
        <w:t> </w:t>
      </w:r>
      <w:r>
        <w:rPr>
          <w:b/>
          <w:sz w:val="28"/>
          <w:szCs w:val="28"/>
          <w:lang w:eastAsia="zh-CN"/>
        </w:rPr>
        <w:t>Нефінансові цілі діяльності АТ «Оператор ринку»</w:t>
      </w:r>
    </w:p>
    <w:p>
      <w:pPr>
        <w:pStyle w:val="a6"/>
        <w:tabs>
          <w:tab w:val="left" w:pos="1134"/>
        </w:tabs>
        <w:ind w:firstLine="567"/>
        <w:jc w:val="both"/>
        <w:rPr>
          <w:rFonts w:ascii="Times New Roman" w:hAnsi="Times New Roman" w:cs="Times New Roman"/>
          <w:color w:val="auto"/>
          <w:sz w:val="28"/>
          <w:szCs w:val="28"/>
        </w:rPr>
      </w:pPr>
      <w:r>
        <w:rPr>
          <w:rFonts w:ascii="Times New Roman" w:eastAsia="Times New Roman" w:hAnsi="Times New Roman" w:cs="Times New Roman"/>
          <w:b/>
          <w:bCs/>
          <w:i/>
          <w:iCs/>
          <w:color w:val="auto"/>
          <w:sz w:val="28"/>
          <w:szCs w:val="28"/>
          <w:lang w:eastAsia="zh-CN" w:bidi="ar-SA"/>
        </w:rPr>
        <w:t>1. П</w:t>
      </w:r>
      <w:r>
        <w:rPr>
          <w:rFonts w:ascii="Times New Roman" w:hAnsi="Times New Roman" w:cs="Times New Roman"/>
          <w:b/>
          <w:bCs/>
          <w:i/>
          <w:iCs/>
          <w:color w:val="auto"/>
          <w:sz w:val="28"/>
          <w:szCs w:val="28"/>
        </w:rPr>
        <w:t>риведення внутрішніх положень АТ «Оператор ринку» у відповідність до вимог законодавства України з урахуванням останніх законодавчих змін.</w:t>
      </w:r>
    </w:p>
    <w:p>
      <w:pPr>
        <w:pStyle w:val="a6"/>
        <w:tabs>
          <w:tab w:val="left" w:pos="1134"/>
        </w:tabs>
        <w:ind w:firstLine="567"/>
        <w:jc w:val="both"/>
        <w:rPr>
          <w:rFonts w:ascii="Times New Roman" w:hAnsi="Times New Roman" w:cs="Times New Roman"/>
          <w:color w:val="auto"/>
          <w:sz w:val="28"/>
          <w:szCs w:val="28"/>
        </w:rPr>
      </w:pPr>
      <w:r>
        <w:rPr>
          <w:rFonts w:ascii="Times New Roman" w:hAnsi="Times New Roman" w:cs="Times New Roman"/>
          <w:color w:val="auto"/>
          <w:sz w:val="28"/>
          <w:szCs w:val="28"/>
        </w:rPr>
        <w:t>Для реалізації зазначеної цілі Товариство:</w:t>
      </w:r>
    </w:p>
    <w:p>
      <w:pPr>
        <w:pStyle w:val="a6"/>
        <w:ind w:firstLine="567"/>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розроблятиме </w:t>
      </w:r>
      <w:proofErr w:type="spellStart"/>
      <w:r>
        <w:rPr>
          <w:rFonts w:ascii="Times New Roman" w:hAnsi="Times New Roman" w:cs="Times New Roman"/>
          <w:color w:val="auto"/>
          <w:sz w:val="28"/>
          <w:szCs w:val="28"/>
        </w:rPr>
        <w:t>проєкти</w:t>
      </w:r>
      <w:proofErr w:type="spellEnd"/>
      <w:r>
        <w:rPr>
          <w:rFonts w:ascii="Times New Roman" w:hAnsi="Times New Roman" w:cs="Times New Roman"/>
          <w:color w:val="auto"/>
          <w:sz w:val="28"/>
          <w:szCs w:val="28"/>
        </w:rPr>
        <w:t xml:space="preserve"> внутрішніх положень Товариства;</w:t>
      </w:r>
    </w:p>
    <w:p>
      <w:pPr>
        <w:pStyle w:val="a6"/>
        <w:ind w:firstLine="567"/>
        <w:jc w:val="both"/>
        <w:rPr>
          <w:rFonts w:ascii="Times New Roman" w:hAnsi="Times New Roman" w:cs="Times New Roman"/>
          <w:color w:val="auto"/>
          <w:sz w:val="28"/>
          <w:szCs w:val="28"/>
        </w:rPr>
      </w:pPr>
      <w:r>
        <w:rPr>
          <w:rFonts w:ascii="Times New Roman" w:hAnsi="Times New Roman" w:cs="Times New Roman"/>
          <w:color w:val="auto"/>
          <w:sz w:val="28"/>
          <w:szCs w:val="28"/>
        </w:rPr>
        <w:t>подаватиме розроблені документи на погодження (за необхідності) Наглядовій раді Товариства;</w:t>
      </w:r>
    </w:p>
    <w:p>
      <w:pPr>
        <w:pStyle w:val="a6"/>
        <w:ind w:firstLine="567"/>
        <w:jc w:val="both"/>
        <w:rPr>
          <w:rFonts w:ascii="Times New Roman" w:hAnsi="Times New Roman" w:cs="Times New Roman"/>
          <w:color w:val="auto"/>
          <w:sz w:val="28"/>
          <w:szCs w:val="28"/>
        </w:rPr>
      </w:pPr>
      <w:r>
        <w:rPr>
          <w:rFonts w:ascii="Times New Roman" w:hAnsi="Times New Roman" w:cs="Times New Roman"/>
          <w:color w:val="auto"/>
          <w:sz w:val="28"/>
          <w:szCs w:val="28"/>
        </w:rPr>
        <w:t>подаватиме розроблені документи на затвердження загальним зборам Товариства або Наглядовій раді Товариства (відповідно до компетенцій).</w:t>
      </w:r>
    </w:p>
    <w:p>
      <w:pPr>
        <w:pStyle w:val="a6"/>
        <w:ind w:firstLine="567"/>
        <w:jc w:val="both"/>
        <w:rPr>
          <w:rFonts w:ascii="Times New Roman" w:hAnsi="Times New Roman" w:cs="Times New Roman"/>
          <w:color w:val="auto"/>
          <w:sz w:val="28"/>
          <w:szCs w:val="28"/>
        </w:rPr>
      </w:pPr>
    </w:p>
    <w:p>
      <w:pPr>
        <w:pStyle w:val="a6"/>
        <w:ind w:firstLine="567"/>
        <w:jc w:val="both"/>
        <w:rPr>
          <w:rFonts w:ascii="Times New Roman" w:eastAsia="Times New Roman" w:hAnsi="Times New Roman" w:cs="Times New Roman"/>
          <w:b/>
          <w:bCs/>
          <w:i/>
          <w:iCs/>
          <w:color w:val="auto"/>
          <w:sz w:val="28"/>
          <w:szCs w:val="28"/>
        </w:rPr>
      </w:pPr>
      <w:r>
        <w:rPr>
          <w:rFonts w:ascii="Times New Roman" w:eastAsia="Times New Roman" w:hAnsi="Times New Roman" w:cs="Times New Roman"/>
          <w:b/>
          <w:bCs/>
          <w:i/>
          <w:iCs/>
          <w:color w:val="auto"/>
          <w:sz w:val="28"/>
          <w:szCs w:val="28"/>
        </w:rPr>
        <w:t xml:space="preserve">2. Призначення внутрішнього аудитора. </w:t>
      </w:r>
    </w:p>
    <w:p>
      <w:pPr>
        <w:pStyle w:val="a6"/>
        <w:ind w:firstLine="567"/>
        <w:jc w:val="both"/>
        <w:rPr>
          <w:rFonts w:ascii="Times New Roman" w:hAnsi="Times New Roman" w:cs="Times New Roman"/>
          <w:color w:val="auto"/>
          <w:sz w:val="28"/>
          <w:szCs w:val="28"/>
        </w:rPr>
      </w:pPr>
      <w:r>
        <w:rPr>
          <w:rFonts w:ascii="Times New Roman" w:hAnsi="Times New Roman" w:cs="Times New Roman"/>
          <w:color w:val="auto"/>
          <w:sz w:val="28"/>
          <w:szCs w:val="28"/>
        </w:rPr>
        <w:t>Наглядова рада Товариства з метою реалізації цілі:</w:t>
      </w:r>
    </w:p>
    <w:p>
      <w:pPr>
        <w:pStyle w:val="a6"/>
        <w:ind w:firstLine="567"/>
        <w:jc w:val="both"/>
        <w:rPr>
          <w:rFonts w:ascii="Times New Roman" w:hAnsi="Times New Roman" w:cs="Times New Roman"/>
          <w:color w:val="auto"/>
          <w:sz w:val="28"/>
          <w:szCs w:val="28"/>
        </w:rPr>
      </w:pPr>
      <w:r>
        <w:rPr>
          <w:rFonts w:ascii="Times New Roman" w:hAnsi="Times New Roman" w:cs="Times New Roman"/>
          <w:color w:val="auto"/>
          <w:sz w:val="28"/>
          <w:szCs w:val="28"/>
        </w:rPr>
        <w:t>прийме рішення про необхідність обрання внутрішнього аудитора;</w:t>
      </w:r>
    </w:p>
    <w:p>
      <w:pPr>
        <w:pStyle w:val="a6"/>
        <w:ind w:firstLine="567"/>
        <w:jc w:val="both"/>
        <w:rPr>
          <w:rFonts w:ascii="Times New Roman" w:hAnsi="Times New Roman" w:cs="Times New Roman"/>
          <w:color w:val="auto"/>
          <w:sz w:val="28"/>
          <w:szCs w:val="28"/>
        </w:rPr>
      </w:pPr>
      <w:r>
        <w:rPr>
          <w:rFonts w:ascii="Times New Roman" w:hAnsi="Times New Roman" w:cs="Times New Roman"/>
          <w:color w:val="auto"/>
          <w:sz w:val="28"/>
          <w:szCs w:val="28"/>
        </w:rPr>
        <w:t>проведе засідання комітету з добору кандидатів на посаду внутрішнього аудитора;</w:t>
      </w:r>
    </w:p>
    <w:p>
      <w:pPr>
        <w:pStyle w:val="a6"/>
        <w:ind w:firstLine="567"/>
        <w:jc w:val="both"/>
        <w:rPr>
          <w:rFonts w:ascii="Times New Roman" w:hAnsi="Times New Roman" w:cs="Times New Roman"/>
          <w:color w:val="auto"/>
          <w:sz w:val="28"/>
          <w:szCs w:val="28"/>
        </w:rPr>
      </w:pPr>
      <w:r>
        <w:rPr>
          <w:rFonts w:ascii="Times New Roman" w:hAnsi="Times New Roman" w:cs="Times New Roman"/>
          <w:color w:val="auto"/>
          <w:sz w:val="28"/>
          <w:szCs w:val="28"/>
        </w:rPr>
        <w:t>прийме рішення щодо обрання внутрішнього аудитора.</w:t>
      </w:r>
    </w:p>
    <w:p>
      <w:pPr>
        <w:pStyle w:val="a6"/>
        <w:ind w:left="927"/>
        <w:jc w:val="both"/>
        <w:rPr>
          <w:rFonts w:ascii="Times New Roman" w:hAnsi="Times New Roman" w:cs="Times New Roman"/>
          <w:iCs/>
          <w:color w:val="auto"/>
          <w:sz w:val="28"/>
          <w:szCs w:val="28"/>
          <w:lang w:eastAsia="zh-CN" w:bidi="ar-SA"/>
        </w:rPr>
      </w:pPr>
    </w:p>
    <w:p>
      <w:pPr>
        <w:ind w:firstLine="567"/>
        <w:jc w:val="both"/>
        <w:rPr>
          <w:b/>
          <w:bCs/>
          <w:i/>
          <w:iCs/>
          <w:sz w:val="28"/>
          <w:szCs w:val="28"/>
        </w:rPr>
      </w:pPr>
      <w:r>
        <w:rPr>
          <w:b/>
          <w:bCs/>
          <w:i/>
          <w:iCs/>
          <w:sz w:val="28"/>
          <w:szCs w:val="28"/>
        </w:rPr>
        <w:t xml:space="preserve">3. Організація торгів на об’єднаних ринках SDAC/SIDC. </w:t>
      </w:r>
    </w:p>
    <w:p>
      <w:pPr>
        <w:pStyle w:val="a6"/>
        <w:ind w:firstLine="567"/>
        <w:jc w:val="both"/>
        <w:rPr>
          <w:rFonts w:ascii="Times New Roman" w:eastAsia="Times New Roman" w:hAnsi="Times New Roman" w:cs="Times New Roman"/>
          <w:color w:val="auto"/>
          <w:sz w:val="28"/>
          <w:szCs w:val="28"/>
        </w:rPr>
      </w:pPr>
      <w:r>
        <w:rPr>
          <w:rFonts w:ascii="Times New Roman" w:eastAsia="Times New Roman" w:hAnsi="Times New Roman" w:cs="Times New Roman"/>
          <w:color w:val="auto"/>
          <w:sz w:val="28"/>
          <w:szCs w:val="28"/>
        </w:rPr>
        <w:t xml:space="preserve">Для організації торгів у об’єднаному </w:t>
      </w:r>
      <w:proofErr w:type="spellStart"/>
      <w:r>
        <w:rPr>
          <w:rFonts w:ascii="Times New Roman" w:eastAsia="Times New Roman" w:hAnsi="Times New Roman" w:cs="Times New Roman"/>
          <w:color w:val="auto"/>
          <w:sz w:val="28"/>
          <w:szCs w:val="28"/>
        </w:rPr>
        <w:t>спотовому</w:t>
      </w:r>
      <w:proofErr w:type="spellEnd"/>
      <w:r>
        <w:rPr>
          <w:rFonts w:ascii="Times New Roman" w:eastAsia="Times New Roman" w:hAnsi="Times New Roman" w:cs="Times New Roman"/>
          <w:color w:val="auto"/>
          <w:sz w:val="28"/>
          <w:szCs w:val="28"/>
        </w:rPr>
        <w:t xml:space="preserve"> ринку електричної енергії України та ЄС і отримання статусу NEMO Товариство:</w:t>
      </w:r>
    </w:p>
    <w:p>
      <w:pPr>
        <w:ind w:firstLine="567"/>
        <w:jc w:val="both"/>
        <w:rPr>
          <w:sz w:val="28"/>
          <w:szCs w:val="28"/>
        </w:rPr>
      </w:pPr>
      <w:r>
        <w:rPr>
          <w:sz w:val="28"/>
          <w:szCs w:val="28"/>
        </w:rPr>
        <w:t>братиме участь у засіданнях, зокрема, Комітету NEMO, DA/ID SC, MCSC, JET-</w:t>
      </w:r>
      <w:proofErr w:type="spellStart"/>
      <w:r>
        <w:rPr>
          <w:sz w:val="28"/>
          <w:szCs w:val="28"/>
        </w:rPr>
        <w:t>EnC</w:t>
      </w:r>
      <w:proofErr w:type="spellEnd"/>
      <w:r>
        <w:rPr>
          <w:sz w:val="28"/>
          <w:szCs w:val="28"/>
        </w:rPr>
        <w:t xml:space="preserve">, PCG та робочих групах, нарадах, щодо імплементації європейського законодавства в сфері електроенергетики та впровадження </w:t>
      </w:r>
      <w:proofErr w:type="spellStart"/>
      <w:r>
        <w:rPr>
          <w:sz w:val="28"/>
          <w:szCs w:val="28"/>
        </w:rPr>
        <w:t>market</w:t>
      </w:r>
      <w:proofErr w:type="spellEnd"/>
      <w:r>
        <w:rPr>
          <w:sz w:val="28"/>
          <w:szCs w:val="28"/>
        </w:rPr>
        <w:t xml:space="preserve"> </w:t>
      </w:r>
      <w:proofErr w:type="spellStart"/>
      <w:r>
        <w:rPr>
          <w:sz w:val="28"/>
          <w:szCs w:val="28"/>
        </w:rPr>
        <w:t>coupling</w:t>
      </w:r>
      <w:proofErr w:type="spellEnd"/>
      <w:r>
        <w:rPr>
          <w:sz w:val="28"/>
          <w:szCs w:val="28"/>
        </w:rPr>
        <w:t xml:space="preserve"> в Україні;</w:t>
      </w:r>
    </w:p>
    <w:p>
      <w:pPr>
        <w:ind w:firstLine="567"/>
        <w:jc w:val="both"/>
        <w:rPr>
          <w:sz w:val="28"/>
          <w:szCs w:val="28"/>
        </w:rPr>
      </w:pPr>
      <w:r>
        <w:rPr>
          <w:sz w:val="28"/>
          <w:szCs w:val="28"/>
        </w:rPr>
        <w:t>братиме участь у створенні та діяльності L</w:t>
      </w:r>
      <w:proofErr w:type="spellStart"/>
      <w:r>
        <w:rPr>
          <w:sz w:val="28"/>
          <w:szCs w:val="28"/>
          <w:lang w:val="en-US"/>
        </w:rPr>
        <w:t>ocal</w:t>
      </w:r>
      <w:proofErr w:type="spellEnd"/>
      <w:r>
        <w:rPr>
          <w:sz w:val="28"/>
          <w:szCs w:val="28"/>
        </w:rPr>
        <w:t xml:space="preserve"> </w:t>
      </w:r>
      <w:r>
        <w:rPr>
          <w:sz w:val="28"/>
          <w:szCs w:val="28"/>
          <w:lang w:val="en-US"/>
        </w:rPr>
        <w:t>Implementation</w:t>
      </w:r>
      <w:r>
        <w:rPr>
          <w:sz w:val="28"/>
          <w:szCs w:val="28"/>
        </w:rPr>
        <w:t xml:space="preserve"> P</w:t>
      </w:r>
      <w:proofErr w:type="spellStart"/>
      <w:r>
        <w:rPr>
          <w:sz w:val="28"/>
          <w:szCs w:val="28"/>
          <w:lang w:val="en-US"/>
        </w:rPr>
        <w:t>roject</w:t>
      </w:r>
      <w:proofErr w:type="spellEnd"/>
      <w:r>
        <w:rPr>
          <w:sz w:val="28"/>
          <w:szCs w:val="28"/>
        </w:rPr>
        <w:t>;</w:t>
      </w:r>
    </w:p>
    <w:p>
      <w:pPr>
        <w:pStyle w:val="a7"/>
        <w:ind w:left="0" w:firstLine="567"/>
        <w:jc w:val="both"/>
        <w:rPr>
          <w:sz w:val="28"/>
          <w:szCs w:val="28"/>
        </w:rPr>
      </w:pPr>
      <w:r>
        <w:rPr>
          <w:sz w:val="28"/>
          <w:szCs w:val="28"/>
        </w:rPr>
        <w:t xml:space="preserve">братиме участь у імплементації європейського законодавства в сфері електроенергетики в частині </w:t>
      </w:r>
      <w:proofErr w:type="spellStart"/>
      <w:r>
        <w:rPr>
          <w:sz w:val="28"/>
          <w:szCs w:val="28"/>
        </w:rPr>
        <w:t>market</w:t>
      </w:r>
      <w:proofErr w:type="spellEnd"/>
      <w:r>
        <w:rPr>
          <w:sz w:val="28"/>
          <w:szCs w:val="28"/>
        </w:rPr>
        <w:t xml:space="preserve"> </w:t>
      </w:r>
      <w:proofErr w:type="spellStart"/>
      <w:r>
        <w:rPr>
          <w:sz w:val="28"/>
          <w:szCs w:val="28"/>
        </w:rPr>
        <w:t>coupling</w:t>
      </w:r>
      <w:proofErr w:type="spellEnd"/>
      <w:r>
        <w:rPr>
          <w:sz w:val="28"/>
          <w:szCs w:val="28"/>
        </w:rPr>
        <w:t xml:space="preserve"> (первинне законодавство);</w:t>
      </w:r>
    </w:p>
    <w:p>
      <w:pPr>
        <w:ind w:firstLine="567"/>
        <w:jc w:val="both"/>
        <w:rPr>
          <w:sz w:val="28"/>
          <w:szCs w:val="28"/>
        </w:rPr>
      </w:pPr>
      <w:r>
        <w:rPr>
          <w:sz w:val="28"/>
          <w:szCs w:val="28"/>
        </w:rPr>
        <w:t xml:space="preserve">братиме участь у розробці вторинного законодавства в сфері електроенергетики в частині </w:t>
      </w:r>
      <w:proofErr w:type="spellStart"/>
      <w:r>
        <w:rPr>
          <w:sz w:val="28"/>
          <w:szCs w:val="28"/>
        </w:rPr>
        <w:t>market</w:t>
      </w:r>
      <w:proofErr w:type="spellEnd"/>
      <w:r>
        <w:rPr>
          <w:sz w:val="28"/>
          <w:szCs w:val="28"/>
        </w:rPr>
        <w:t xml:space="preserve"> </w:t>
      </w:r>
      <w:proofErr w:type="spellStart"/>
      <w:r>
        <w:rPr>
          <w:sz w:val="28"/>
          <w:szCs w:val="28"/>
        </w:rPr>
        <w:t>coupling</w:t>
      </w:r>
      <w:proofErr w:type="spellEnd"/>
      <w:r>
        <w:rPr>
          <w:sz w:val="28"/>
          <w:szCs w:val="28"/>
        </w:rPr>
        <w:t xml:space="preserve"> (після гармонізації первинного законодавства);</w:t>
      </w:r>
    </w:p>
    <w:p>
      <w:pPr>
        <w:ind w:firstLine="567"/>
        <w:jc w:val="both"/>
        <w:rPr>
          <w:sz w:val="28"/>
          <w:szCs w:val="28"/>
        </w:rPr>
      </w:pPr>
      <w:r>
        <w:rPr>
          <w:sz w:val="28"/>
          <w:szCs w:val="28"/>
        </w:rPr>
        <w:t xml:space="preserve">після імплементації європейського законодавства в сфері електроенергетики в частині </w:t>
      </w:r>
      <w:proofErr w:type="spellStart"/>
      <w:r>
        <w:rPr>
          <w:sz w:val="28"/>
          <w:szCs w:val="28"/>
        </w:rPr>
        <w:t>market</w:t>
      </w:r>
      <w:proofErr w:type="spellEnd"/>
      <w:r>
        <w:rPr>
          <w:sz w:val="28"/>
          <w:szCs w:val="28"/>
        </w:rPr>
        <w:t xml:space="preserve"> </w:t>
      </w:r>
      <w:proofErr w:type="spellStart"/>
      <w:r>
        <w:rPr>
          <w:sz w:val="28"/>
          <w:szCs w:val="28"/>
        </w:rPr>
        <w:t>coupling</w:t>
      </w:r>
      <w:proofErr w:type="spellEnd"/>
      <w:r>
        <w:rPr>
          <w:sz w:val="28"/>
          <w:szCs w:val="28"/>
        </w:rPr>
        <w:t xml:space="preserve"> здійснюватиме відповідно до прийнятих нормативно-правових актів кроки для отримання статусу NEMO;</w:t>
      </w:r>
    </w:p>
    <w:p>
      <w:pPr>
        <w:ind w:firstLine="567"/>
        <w:jc w:val="both"/>
        <w:rPr>
          <w:sz w:val="28"/>
          <w:szCs w:val="28"/>
        </w:rPr>
      </w:pPr>
      <w:r>
        <w:rPr>
          <w:sz w:val="28"/>
          <w:szCs w:val="28"/>
        </w:rPr>
        <w:t>після призначення NEMO здійснюватиме діяльність для підписання та приєднання до необхідних планів/договорів для роботи у SDAC/SIDC.</w:t>
      </w:r>
    </w:p>
    <w:p>
      <w:pPr>
        <w:ind w:firstLine="567"/>
        <w:jc w:val="both"/>
        <w:rPr>
          <w:sz w:val="28"/>
          <w:szCs w:val="28"/>
        </w:rPr>
      </w:pPr>
    </w:p>
    <w:p>
      <w:pPr>
        <w:ind w:firstLine="567"/>
        <w:jc w:val="both"/>
        <w:rPr>
          <w:i/>
          <w:sz w:val="28"/>
          <w:szCs w:val="28"/>
        </w:rPr>
      </w:pPr>
      <w:r>
        <w:rPr>
          <w:i/>
          <w:sz w:val="28"/>
          <w:szCs w:val="28"/>
        </w:rPr>
        <w:t>4</w:t>
      </w:r>
      <w:r>
        <w:rPr>
          <w:b/>
          <w:bCs/>
          <w:i/>
          <w:sz w:val="28"/>
          <w:szCs w:val="28"/>
        </w:rPr>
        <w:t>. Вжиття заходів щодо запобігання корупції.</w:t>
      </w:r>
    </w:p>
    <w:p>
      <w:pPr>
        <w:ind w:firstLine="567"/>
        <w:jc w:val="both"/>
        <w:rPr>
          <w:sz w:val="28"/>
          <w:szCs w:val="28"/>
          <w:lang w:eastAsia="en-US"/>
        </w:rPr>
      </w:pPr>
      <w:r>
        <w:rPr>
          <w:sz w:val="28"/>
          <w:szCs w:val="28"/>
          <w:lang w:eastAsia="uk-UA"/>
        </w:rPr>
        <w:t xml:space="preserve">З метою безумовного </w:t>
      </w:r>
      <w:r>
        <w:rPr>
          <w:sz w:val="28"/>
          <w:szCs w:val="28"/>
          <w:lang w:eastAsia="en-US"/>
        </w:rPr>
        <w:t xml:space="preserve">дотримання принципів доброчесності, справедливості та поваги до працівників Товариства, а також дотримання вимог антикорупційного законодавства України, Антикорупційної програми </w:t>
      </w:r>
      <w:r>
        <w:rPr>
          <w:sz w:val="28"/>
          <w:szCs w:val="28"/>
          <w:lang w:eastAsia="en-US"/>
        </w:rPr>
        <w:lastRenderedPageBreak/>
        <w:t xml:space="preserve">Акціонерного товариства «Оператор ринку» на 2024 – 2026 роки, затвердженої Генеральним директором АТ «Оператор ринку» та погодженої Головою профспілкового комітету АТ «Оператор ринку» 11 листопада 2024 року, забезпечення ефективної реалізації Антикорупційної політики АТ «Оператор ринку», затвердженої наказом АТ «Оператор ринку» від 18 лютого 2022 року                  № 60, Товариство </w:t>
      </w:r>
      <w:r>
        <w:rPr>
          <w:sz w:val="28"/>
          <w:szCs w:val="28"/>
          <w:lang w:eastAsia="uk-UA"/>
        </w:rPr>
        <w:t>реалізовуватиме такі завдання:</w:t>
      </w:r>
    </w:p>
    <w:p>
      <w:pPr>
        <w:ind w:firstLine="567"/>
        <w:jc w:val="both"/>
        <w:rPr>
          <w:sz w:val="28"/>
          <w:szCs w:val="28"/>
        </w:rPr>
      </w:pPr>
      <w:r>
        <w:rPr>
          <w:sz w:val="28"/>
          <w:szCs w:val="28"/>
        </w:rPr>
        <w:t>проведення обов’язкового навчання для працівників Товариства щодо розуміння основних положень законодавства у сфері запобігання та виявлення корупції;</w:t>
      </w:r>
    </w:p>
    <w:p>
      <w:pPr>
        <w:ind w:firstLine="567"/>
        <w:jc w:val="both"/>
        <w:rPr>
          <w:sz w:val="28"/>
          <w:szCs w:val="28"/>
          <w:lang w:eastAsia="en-US"/>
        </w:rPr>
      </w:pPr>
      <w:r>
        <w:rPr>
          <w:sz w:val="28"/>
          <w:szCs w:val="28"/>
          <w:lang w:bidi="uk-UA"/>
        </w:rPr>
        <w:t>проведення оцінювання корупційних ризиків у діяльності Товариства,</w:t>
      </w:r>
      <w:r>
        <w:rPr>
          <w:sz w:val="28"/>
          <w:szCs w:val="28"/>
        </w:rPr>
        <w:t xml:space="preserve"> перегляд (за необхідності) </w:t>
      </w:r>
      <w:r>
        <w:rPr>
          <w:sz w:val="28"/>
          <w:szCs w:val="28"/>
          <w:lang w:eastAsia="en-US"/>
        </w:rPr>
        <w:t>Антикорупційної програми Акціонерного товариства «Оператор ринку» на 2024 – 2026 роки;</w:t>
      </w:r>
    </w:p>
    <w:p>
      <w:pPr>
        <w:ind w:firstLine="567"/>
        <w:jc w:val="both"/>
        <w:rPr>
          <w:sz w:val="28"/>
          <w:szCs w:val="28"/>
        </w:rPr>
      </w:pPr>
      <w:r>
        <w:rPr>
          <w:sz w:val="28"/>
          <w:szCs w:val="28"/>
        </w:rPr>
        <w:t>здійснення заходів щодо запобігання та виявлення корупції;</w:t>
      </w:r>
    </w:p>
    <w:p>
      <w:pPr>
        <w:ind w:firstLine="567"/>
        <w:jc w:val="both"/>
        <w:rPr>
          <w:sz w:val="28"/>
          <w:szCs w:val="28"/>
        </w:rPr>
      </w:pPr>
      <w:r>
        <w:rPr>
          <w:sz w:val="28"/>
          <w:szCs w:val="28"/>
        </w:rPr>
        <w:t>розробка та впровадження заходів щодо недопущення виникнення реального або потенційного конфлікту інтересів;</w:t>
      </w:r>
    </w:p>
    <w:p>
      <w:pPr>
        <w:ind w:firstLine="567"/>
        <w:jc w:val="both"/>
        <w:rPr>
          <w:sz w:val="28"/>
          <w:szCs w:val="28"/>
        </w:rPr>
      </w:pPr>
      <w:r>
        <w:rPr>
          <w:sz w:val="28"/>
          <w:szCs w:val="28"/>
        </w:rPr>
        <w:t>дотримання відповідності актів з основної діяльності, адміністративно-господарських питань, кадрових питань (особового складу) вимогам законодавства України у сфері запобігання корупції;</w:t>
      </w:r>
    </w:p>
    <w:p>
      <w:pPr>
        <w:ind w:firstLine="567"/>
        <w:jc w:val="both"/>
        <w:rPr>
          <w:sz w:val="28"/>
          <w:szCs w:val="28"/>
          <w:lang w:eastAsia="uk-UA"/>
        </w:rPr>
      </w:pPr>
      <w:r>
        <w:rPr>
          <w:sz w:val="28"/>
          <w:szCs w:val="28"/>
        </w:rPr>
        <w:t>забезпечення дотримання Кодексу ділової поведінки акціонерного товариства «Оператор ринку», затвердженого наказом АТ «Оператор ринку»               від 08 березня 2023 року № 117;</w:t>
      </w:r>
    </w:p>
    <w:p>
      <w:pPr>
        <w:ind w:firstLine="567"/>
        <w:rPr>
          <w:rFonts w:ascii="Arial" w:hAnsi="Arial" w:cs="Arial"/>
          <w:sz w:val="28"/>
          <w:szCs w:val="28"/>
          <w:lang w:eastAsia="uk-UA"/>
        </w:rPr>
      </w:pPr>
      <w:r>
        <w:rPr>
          <w:sz w:val="28"/>
          <w:szCs w:val="28"/>
          <w:lang w:eastAsia="uk-UA"/>
        </w:rPr>
        <w:t>здійснення щорічного моніторингу та звітування про проведення заходів із запобігання та виявлення корупції.</w:t>
      </w:r>
    </w:p>
    <w:p>
      <w:pPr>
        <w:jc w:val="both"/>
        <w:rPr>
          <w:b/>
          <w:bCs/>
          <w:i/>
          <w:iCs/>
          <w:sz w:val="28"/>
          <w:szCs w:val="28"/>
          <w:lang w:bidi="uk-UA"/>
        </w:rPr>
      </w:pPr>
    </w:p>
    <w:p>
      <w:pPr>
        <w:pStyle w:val="a6"/>
        <w:ind w:firstLine="567"/>
        <w:jc w:val="both"/>
        <w:rPr>
          <w:rFonts w:ascii="Times New Roman" w:hAnsi="Times New Roman" w:cs="Times New Roman"/>
          <w:b/>
          <w:color w:val="auto"/>
          <w:sz w:val="28"/>
          <w:szCs w:val="28"/>
        </w:rPr>
      </w:pPr>
      <w:r>
        <w:rPr>
          <w:rFonts w:ascii="Times New Roman" w:hAnsi="Times New Roman" w:cs="Times New Roman"/>
          <w:b/>
          <w:color w:val="auto"/>
          <w:sz w:val="28"/>
          <w:szCs w:val="28"/>
        </w:rPr>
        <w:t>Таблиця. Цільові показники ефективності АТ «Оператор ринку»</w:t>
      </w:r>
    </w:p>
    <w:p>
      <w:pPr>
        <w:pStyle w:val="a6"/>
        <w:ind w:firstLine="567"/>
        <w:jc w:val="both"/>
        <w:rPr>
          <w:rFonts w:ascii="Times New Roman" w:hAnsi="Times New Roman" w:cs="Times New Roman"/>
          <w:b/>
          <w:color w:val="auto"/>
        </w:rPr>
      </w:pPr>
    </w:p>
    <w:tbl>
      <w:tblPr>
        <w:tblStyle w:val="a5"/>
        <w:tblW w:w="9770" w:type="dxa"/>
        <w:jc w:val="center"/>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Layout w:type="fixed"/>
        <w:tblLook w:val="0600" w:firstRow="0" w:lastRow="0" w:firstColumn="0" w:lastColumn="0" w:noHBand="1" w:noVBand="1"/>
      </w:tblPr>
      <w:tblGrid>
        <w:gridCol w:w="2826"/>
        <w:gridCol w:w="1427"/>
        <w:gridCol w:w="1427"/>
        <w:gridCol w:w="1427"/>
        <w:gridCol w:w="1427"/>
        <w:gridCol w:w="1236"/>
      </w:tblGrid>
      <w:tr>
        <w:trPr>
          <w:jc w:val="center"/>
        </w:trPr>
        <w:tc>
          <w:tcPr>
            <w:tcW w:w="2826" w:type="dxa"/>
            <w:shd w:val="clear" w:color="auto" w:fill="E8E8E8"/>
            <w:tcMar>
              <w:top w:w="100" w:type="dxa"/>
              <w:left w:w="115" w:type="dxa"/>
              <w:bottom w:w="100" w:type="dxa"/>
              <w:right w:w="115" w:type="dxa"/>
            </w:tcMar>
          </w:tcPr>
          <w:p>
            <w:pPr>
              <w:suppressAutoHyphens/>
              <w:spacing w:before="40" w:after="40"/>
              <w:jc w:val="center"/>
              <w:rPr>
                <w:i/>
                <w:lang w:eastAsia="zh-CN"/>
              </w:rPr>
            </w:pPr>
            <w:r>
              <w:rPr>
                <w:b/>
                <w:lang w:eastAsia="uk-UA"/>
              </w:rPr>
              <w:t>Найменування показника</w:t>
            </w:r>
          </w:p>
        </w:tc>
        <w:tc>
          <w:tcPr>
            <w:tcW w:w="1427" w:type="dxa"/>
            <w:shd w:val="clear" w:color="auto" w:fill="E8E8E8"/>
            <w:tcMar>
              <w:top w:w="100" w:type="dxa"/>
              <w:left w:w="115" w:type="dxa"/>
              <w:bottom w:w="100" w:type="dxa"/>
              <w:right w:w="115" w:type="dxa"/>
            </w:tcMar>
          </w:tcPr>
          <w:p>
            <w:pPr>
              <w:suppressAutoHyphens/>
              <w:spacing w:before="40" w:after="40"/>
              <w:jc w:val="center"/>
              <w:rPr>
                <w:b/>
                <w:lang w:eastAsia="zh-CN"/>
              </w:rPr>
            </w:pPr>
            <w:r>
              <w:rPr>
                <w:b/>
                <w:lang w:eastAsia="zh-CN"/>
              </w:rPr>
              <w:t>Минулий 2023 рік (факт)</w:t>
            </w:r>
          </w:p>
        </w:tc>
        <w:tc>
          <w:tcPr>
            <w:tcW w:w="1427" w:type="dxa"/>
            <w:shd w:val="clear" w:color="auto" w:fill="E8E8E8"/>
            <w:tcMar>
              <w:top w:w="100" w:type="dxa"/>
              <w:left w:w="115" w:type="dxa"/>
              <w:bottom w:w="100" w:type="dxa"/>
              <w:right w:w="115" w:type="dxa"/>
            </w:tcMar>
          </w:tcPr>
          <w:p>
            <w:pPr>
              <w:suppressAutoHyphens/>
              <w:spacing w:before="40" w:after="40"/>
              <w:jc w:val="center"/>
              <w:rPr>
                <w:b/>
                <w:lang w:eastAsia="zh-CN"/>
              </w:rPr>
            </w:pPr>
            <w:r>
              <w:rPr>
                <w:b/>
                <w:lang w:eastAsia="zh-CN"/>
              </w:rPr>
              <w:t>Поточний 2024 рік (факт)</w:t>
            </w:r>
          </w:p>
        </w:tc>
        <w:tc>
          <w:tcPr>
            <w:tcW w:w="1427" w:type="dxa"/>
            <w:shd w:val="clear" w:color="auto" w:fill="E8E8E8"/>
            <w:tcMar>
              <w:top w:w="100" w:type="dxa"/>
              <w:left w:w="115" w:type="dxa"/>
              <w:bottom w:w="100" w:type="dxa"/>
              <w:right w:w="115" w:type="dxa"/>
            </w:tcMar>
          </w:tcPr>
          <w:p>
            <w:pPr>
              <w:suppressAutoHyphens/>
              <w:spacing w:before="40" w:after="40"/>
              <w:jc w:val="center"/>
              <w:rPr>
                <w:b/>
                <w:lang w:eastAsia="zh-CN"/>
              </w:rPr>
            </w:pPr>
            <w:r>
              <w:rPr>
                <w:b/>
                <w:lang w:eastAsia="zh-CN"/>
              </w:rPr>
              <w:t xml:space="preserve">Плановий 2025 рік </w:t>
            </w:r>
          </w:p>
        </w:tc>
        <w:tc>
          <w:tcPr>
            <w:tcW w:w="1427" w:type="dxa"/>
            <w:shd w:val="clear" w:color="auto" w:fill="E8E8E8"/>
            <w:tcMar>
              <w:top w:w="100" w:type="dxa"/>
              <w:left w:w="115" w:type="dxa"/>
              <w:bottom w:w="100" w:type="dxa"/>
              <w:right w:w="115" w:type="dxa"/>
            </w:tcMar>
          </w:tcPr>
          <w:p>
            <w:pPr>
              <w:suppressAutoHyphens/>
              <w:spacing w:before="40" w:after="40"/>
              <w:jc w:val="center"/>
              <w:rPr>
                <w:b/>
                <w:lang w:eastAsia="zh-CN"/>
              </w:rPr>
            </w:pPr>
            <w:r>
              <w:rPr>
                <w:b/>
                <w:lang w:eastAsia="zh-CN"/>
              </w:rPr>
              <w:t>Плановий рік +1</w:t>
            </w:r>
          </w:p>
        </w:tc>
        <w:tc>
          <w:tcPr>
            <w:tcW w:w="1236" w:type="dxa"/>
            <w:shd w:val="clear" w:color="auto" w:fill="E8E8E8"/>
            <w:tcMar>
              <w:top w:w="100" w:type="dxa"/>
              <w:left w:w="115" w:type="dxa"/>
              <w:bottom w:w="100" w:type="dxa"/>
              <w:right w:w="115" w:type="dxa"/>
            </w:tcMar>
          </w:tcPr>
          <w:p>
            <w:pPr>
              <w:suppressAutoHyphens/>
              <w:spacing w:before="40" w:after="40"/>
              <w:jc w:val="center"/>
              <w:rPr>
                <w:b/>
                <w:lang w:eastAsia="zh-CN"/>
              </w:rPr>
            </w:pPr>
            <w:r>
              <w:rPr>
                <w:b/>
                <w:lang w:eastAsia="zh-CN"/>
              </w:rPr>
              <w:t>Плановий рік +2</w:t>
            </w:r>
          </w:p>
        </w:tc>
      </w:tr>
      <w:tr>
        <w:trPr>
          <w:jc w:val="center"/>
        </w:trPr>
        <w:tc>
          <w:tcPr>
            <w:tcW w:w="9770" w:type="dxa"/>
            <w:gridSpan w:val="6"/>
            <w:tcMar>
              <w:top w:w="100" w:type="dxa"/>
              <w:left w:w="115" w:type="dxa"/>
              <w:bottom w:w="100" w:type="dxa"/>
              <w:right w:w="115" w:type="dxa"/>
            </w:tcMar>
          </w:tcPr>
          <w:p>
            <w:pPr>
              <w:suppressAutoHyphens/>
              <w:spacing w:before="40" w:after="40"/>
              <w:ind w:left="306" w:hanging="360"/>
              <w:jc w:val="center"/>
              <w:rPr>
                <w:b/>
                <w:lang w:eastAsia="zh-CN"/>
              </w:rPr>
            </w:pPr>
            <w:r>
              <w:rPr>
                <w:b/>
                <w:lang w:eastAsia="zh-CN"/>
              </w:rPr>
              <w:t>І. ФІНАНСОВІ ПОКАЗНИКИ</w:t>
            </w:r>
          </w:p>
        </w:tc>
      </w:tr>
      <w:tr>
        <w:trPr>
          <w:jc w:val="center"/>
        </w:trPr>
        <w:tc>
          <w:tcPr>
            <w:tcW w:w="9770" w:type="dxa"/>
            <w:gridSpan w:val="6"/>
            <w:tcMar>
              <w:top w:w="100" w:type="dxa"/>
              <w:left w:w="115" w:type="dxa"/>
              <w:bottom w:w="100" w:type="dxa"/>
              <w:right w:w="115" w:type="dxa"/>
            </w:tcMar>
          </w:tcPr>
          <w:p>
            <w:pPr>
              <w:suppressAutoHyphens/>
              <w:spacing w:before="40" w:after="40"/>
              <w:rPr>
                <w:b/>
                <w:i/>
                <w:lang w:eastAsia="zh-CN"/>
              </w:rPr>
            </w:pPr>
            <w:r>
              <w:rPr>
                <w:b/>
                <w:i/>
                <w:lang w:eastAsia="zh-CN"/>
              </w:rPr>
              <w:t>Основні фінансові показники</w:t>
            </w:r>
          </w:p>
        </w:tc>
      </w:tr>
      <w:tr>
        <w:trPr>
          <w:jc w:val="center"/>
        </w:trPr>
        <w:tc>
          <w:tcPr>
            <w:tcW w:w="2826" w:type="dxa"/>
            <w:tcMar>
              <w:top w:w="100" w:type="dxa"/>
              <w:left w:w="115" w:type="dxa"/>
              <w:bottom w:w="100" w:type="dxa"/>
              <w:right w:w="115" w:type="dxa"/>
            </w:tcMar>
          </w:tcPr>
          <w:p>
            <w:pPr>
              <w:suppressAutoHyphens/>
              <w:spacing w:before="40" w:after="40"/>
              <w:rPr>
                <w:b/>
                <w:lang w:eastAsia="zh-CN"/>
              </w:rPr>
            </w:pPr>
            <w:r>
              <w:rPr>
                <w:b/>
                <w:lang w:eastAsia="zh-CN"/>
              </w:rPr>
              <w:t>Коефіцієнти рентабельності:</w:t>
            </w:r>
          </w:p>
        </w:tc>
        <w:tc>
          <w:tcPr>
            <w:tcW w:w="1427" w:type="dxa"/>
            <w:tcMar>
              <w:top w:w="100" w:type="dxa"/>
              <w:left w:w="115" w:type="dxa"/>
              <w:bottom w:w="100" w:type="dxa"/>
              <w:right w:w="115" w:type="dxa"/>
            </w:tcMar>
          </w:tcPr>
          <w:p>
            <w:pPr>
              <w:suppressAutoHyphens/>
              <w:spacing w:before="40" w:after="40"/>
              <w:jc w:val="center"/>
              <w:rPr>
                <w:b/>
                <w:lang w:eastAsia="zh-CN"/>
              </w:rPr>
            </w:pPr>
          </w:p>
        </w:tc>
        <w:tc>
          <w:tcPr>
            <w:tcW w:w="1427" w:type="dxa"/>
            <w:tcMar>
              <w:top w:w="100" w:type="dxa"/>
              <w:left w:w="115" w:type="dxa"/>
              <w:bottom w:w="100" w:type="dxa"/>
              <w:right w:w="115" w:type="dxa"/>
            </w:tcMar>
          </w:tcPr>
          <w:p>
            <w:pPr>
              <w:suppressAutoHyphens/>
              <w:spacing w:before="40" w:after="40"/>
              <w:jc w:val="center"/>
              <w:rPr>
                <w:b/>
                <w:lang w:eastAsia="zh-CN"/>
              </w:rPr>
            </w:pPr>
          </w:p>
        </w:tc>
        <w:tc>
          <w:tcPr>
            <w:tcW w:w="1427" w:type="dxa"/>
            <w:tcMar>
              <w:top w:w="100" w:type="dxa"/>
              <w:left w:w="115" w:type="dxa"/>
              <w:bottom w:w="100" w:type="dxa"/>
              <w:right w:w="115" w:type="dxa"/>
            </w:tcMar>
          </w:tcPr>
          <w:p>
            <w:pPr>
              <w:suppressAutoHyphens/>
              <w:spacing w:before="40" w:after="40"/>
              <w:jc w:val="center"/>
              <w:rPr>
                <w:b/>
                <w:lang w:eastAsia="zh-CN"/>
              </w:rPr>
            </w:pPr>
          </w:p>
        </w:tc>
        <w:tc>
          <w:tcPr>
            <w:tcW w:w="1427" w:type="dxa"/>
            <w:tcMar>
              <w:top w:w="100" w:type="dxa"/>
              <w:left w:w="115" w:type="dxa"/>
              <w:bottom w:w="100" w:type="dxa"/>
              <w:right w:w="115" w:type="dxa"/>
            </w:tcMar>
          </w:tcPr>
          <w:p>
            <w:pPr>
              <w:suppressAutoHyphens/>
              <w:spacing w:before="40" w:after="40"/>
              <w:jc w:val="center"/>
              <w:rPr>
                <w:b/>
                <w:lang w:eastAsia="zh-CN"/>
              </w:rPr>
            </w:pPr>
          </w:p>
        </w:tc>
        <w:tc>
          <w:tcPr>
            <w:tcW w:w="1236" w:type="dxa"/>
            <w:tcMar>
              <w:top w:w="100" w:type="dxa"/>
              <w:left w:w="115" w:type="dxa"/>
              <w:bottom w:w="100" w:type="dxa"/>
              <w:right w:w="115" w:type="dxa"/>
            </w:tcMar>
          </w:tcPr>
          <w:p>
            <w:pPr>
              <w:suppressAutoHyphens/>
              <w:spacing w:before="40" w:after="40"/>
              <w:jc w:val="center"/>
              <w:rPr>
                <w:b/>
                <w:lang w:eastAsia="zh-CN"/>
              </w:rPr>
            </w:pPr>
          </w:p>
        </w:tc>
      </w:tr>
      <w:tr>
        <w:trPr>
          <w:jc w:val="center"/>
        </w:trPr>
        <w:tc>
          <w:tcPr>
            <w:tcW w:w="2826" w:type="dxa"/>
            <w:tcMar>
              <w:top w:w="100" w:type="dxa"/>
              <w:left w:w="115" w:type="dxa"/>
              <w:bottom w:w="100" w:type="dxa"/>
              <w:right w:w="115" w:type="dxa"/>
            </w:tcMar>
          </w:tcPr>
          <w:p>
            <w:pPr>
              <w:suppressAutoHyphens/>
              <w:spacing w:before="40" w:after="40"/>
              <w:rPr>
                <w:lang w:eastAsia="zh-CN"/>
              </w:rPr>
            </w:pPr>
            <w:r>
              <w:rPr>
                <w:lang w:eastAsia="zh-CN"/>
              </w:rPr>
              <w:t>коефіцієнт рентабельності діяльності</w:t>
            </w:r>
          </w:p>
        </w:tc>
        <w:tc>
          <w:tcPr>
            <w:tcW w:w="1427" w:type="dxa"/>
            <w:tcMar>
              <w:top w:w="100" w:type="dxa"/>
              <w:left w:w="115" w:type="dxa"/>
              <w:bottom w:w="100" w:type="dxa"/>
              <w:right w:w="115" w:type="dxa"/>
            </w:tcMar>
          </w:tcPr>
          <w:p>
            <w:pPr>
              <w:suppressAutoHyphens/>
              <w:spacing w:before="40" w:after="40"/>
              <w:jc w:val="center"/>
              <w:rPr>
                <w:lang w:eastAsia="zh-CN"/>
              </w:rPr>
            </w:pPr>
            <w:r>
              <w:rPr>
                <w:lang w:eastAsia="zh-CN"/>
              </w:rPr>
              <w:t>0,12</w:t>
            </w:r>
          </w:p>
        </w:tc>
        <w:tc>
          <w:tcPr>
            <w:tcW w:w="1427" w:type="dxa"/>
            <w:tcMar>
              <w:top w:w="100" w:type="dxa"/>
              <w:left w:w="115" w:type="dxa"/>
              <w:bottom w:w="100" w:type="dxa"/>
              <w:right w:w="115" w:type="dxa"/>
            </w:tcMar>
          </w:tcPr>
          <w:p>
            <w:pPr>
              <w:suppressAutoHyphens/>
              <w:spacing w:before="40" w:after="40"/>
              <w:jc w:val="center"/>
              <w:rPr>
                <w:lang w:eastAsia="zh-CN"/>
              </w:rPr>
            </w:pPr>
            <w:r>
              <w:rPr>
                <w:lang w:eastAsia="zh-CN"/>
              </w:rPr>
              <w:t>0,12</w:t>
            </w:r>
          </w:p>
        </w:tc>
        <w:tc>
          <w:tcPr>
            <w:tcW w:w="1427" w:type="dxa"/>
            <w:tcMar>
              <w:top w:w="100" w:type="dxa"/>
              <w:left w:w="115" w:type="dxa"/>
              <w:bottom w:w="100" w:type="dxa"/>
              <w:right w:w="115" w:type="dxa"/>
            </w:tcMar>
          </w:tcPr>
          <w:p>
            <w:pPr>
              <w:suppressAutoHyphens/>
              <w:spacing w:before="40" w:after="40"/>
              <w:jc w:val="center"/>
              <w:rPr>
                <w:lang w:eastAsia="zh-CN"/>
              </w:rPr>
            </w:pPr>
            <w:r>
              <w:rPr>
                <w:lang w:eastAsia="zh-CN"/>
              </w:rPr>
              <w:t>0,08</w:t>
            </w:r>
          </w:p>
        </w:tc>
        <w:tc>
          <w:tcPr>
            <w:tcW w:w="1427" w:type="dxa"/>
            <w:tcMar>
              <w:top w:w="100" w:type="dxa"/>
              <w:left w:w="115" w:type="dxa"/>
              <w:bottom w:w="100" w:type="dxa"/>
              <w:right w:w="115" w:type="dxa"/>
            </w:tcMar>
          </w:tcPr>
          <w:p>
            <w:pPr>
              <w:suppressAutoHyphens/>
              <w:spacing w:before="40" w:after="40"/>
              <w:jc w:val="center"/>
              <w:rPr>
                <w:lang w:eastAsia="zh-CN"/>
              </w:rPr>
            </w:pPr>
            <w:r>
              <w:rPr>
                <w:lang w:eastAsia="zh-CN"/>
              </w:rPr>
              <w:t>0,08</w:t>
            </w:r>
          </w:p>
        </w:tc>
        <w:tc>
          <w:tcPr>
            <w:tcW w:w="1236" w:type="dxa"/>
            <w:tcMar>
              <w:top w:w="100" w:type="dxa"/>
              <w:left w:w="115" w:type="dxa"/>
              <w:bottom w:w="100" w:type="dxa"/>
              <w:right w:w="115" w:type="dxa"/>
            </w:tcMar>
          </w:tcPr>
          <w:p>
            <w:pPr>
              <w:suppressAutoHyphens/>
              <w:spacing w:before="40" w:after="40"/>
              <w:jc w:val="center"/>
              <w:rPr>
                <w:lang w:eastAsia="zh-CN"/>
              </w:rPr>
            </w:pPr>
            <w:r>
              <w:rPr>
                <w:lang w:eastAsia="zh-CN"/>
              </w:rPr>
              <w:t>0,08</w:t>
            </w:r>
          </w:p>
        </w:tc>
      </w:tr>
      <w:tr>
        <w:trPr>
          <w:jc w:val="center"/>
        </w:trPr>
        <w:tc>
          <w:tcPr>
            <w:tcW w:w="2826" w:type="dxa"/>
            <w:tcMar>
              <w:top w:w="100" w:type="dxa"/>
              <w:left w:w="115" w:type="dxa"/>
              <w:bottom w:w="100" w:type="dxa"/>
              <w:right w:w="115" w:type="dxa"/>
            </w:tcMar>
          </w:tcPr>
          <w:p>
            <w:pPr>
              <w:suppressAutoHyphens/>
              <w:spacing w:before="40" w:after="40"/>
              <w:rPr>
                <w:lang w:eastAsia="zh-CN"/>
              </w:rPr>
            </w:pPr>
            <w:r>
              <w:rPr>
                <w:lang w:eastAsia="zh-CN"/>
              </w:rPr>
              <w:t>коефіцієнт рентабельності EBITDA</w:t>
            </w:r>
          </w:p>
        </w:tc>
        <w:tc>
          <w:tcPr>
            <w:tcW w:w="1427" w:type="dxa"/>
            <w:tcMar>
              <w:top w:w="100" w:type="dxa"/>
              <w:left w:w="115" w:type="dxa"/>
              <w:bottom w:w="100" w:type="dxa"/>
              <w:right w:w="115" w:type="dxa"/>
            </w:tcMar>
          </w:tcPr>
          <w:p>
            <w:pPr>
              <w:suppressAutoHyphens/>
              <w:spacing w:before="40" w:after="40"/>
              <w:jc w:val="center"/>
              <w:rPr>
                <w:lang w:eastAsia="zh-CN"/>
              </w:rPr>
            </w:pPr>
            <w:r>
              <w:rPr>
                <w:lang w:eastAsia="zh-CN"/>
              </w:rPr>
              <w:t>0,26</w:t>
            </w:r>
          </w:p>
        </w:tc>
        <w:tc>
          <w:tcPr>
            <w:tcW w:w="1427" w:type="dxa"/>
            <w:tcMar>
              <w:top w:w="100" w:type="dxa"/>
              <w:left w:w="115" w:type="dxa"/>
              <w:bottom w:w="100" w:type="dxa"/>
              <w:right w:w="115" w:type="dxa"/>
            </w:tcMar>
          </w:tcPr>
          <w:p>
            <w:pPr>
              <w:suppressAutoHyphens/>
              <w:spacing w:before="40" w:after="40"/>
              <w:jc w:val="center"/>
              <w:rPr>
                <w:lang w:eastAsia="zh-CN"/>
              </w:rPr>
            </w:pPr>
            <w:r>
              <w:rPr>
                <w:lang w:eastAsia="zh-CN"/>
              </w:rPr>
              <w:t>0,25</w:t>
            </w:r>
          </w:p>
        </w:tc>
        <w:tc>
          <w:tcPr>
            <w:tcW w:w="1427" w:type="dxa"/>
            <w:tcMar>
              <w:top w:w="100" w:type="dxa"/>
              <w:left w:w="115" w:type="dxa"/>
              <w:bottom w:w="100" w:type="dxa"/>
              <w:right w:w="115" w:type="dxa"/>
            </w:tcMar>
          </w:tcPr>
          <w:p>
            <w:pPr>
              <w:suppressAutoHyphens/>
              <w:spacing w:before="40" w:after="40"/>
              <w:jc w:val="center"/>
              <w:rPr>
                <w:lang w:eastAsia="zh-CN"/>
              </w:rPr>
            </w:pPr>
            <w:r>
              <w:rPr>
                <w:lang w:eastAsia="zh-CN"/>
              </w:rPr>
              <w:t>0,23</w:t>
            </w:r>
          </w:p>
        </w:tc>
        <w:tc>
          <w:tcPr>
            <w:tcW w:w="1427" w:type="dxa"/>
            <w:tcMar>
              <w:top w:w="100" w:type="dxa"/>
              <w:left w:w="115" w:type="dxa"/>
              <w:bottom w:w="100" w:type="dxa"/>
              <w:right w:w="115" w:type="dxa"/>
            </w:tcMar>
          </w:tcPr>
          <w:p>
            <w:pPr>
              <w:suppressAutoHyphens/>
              <w:spacing w:before="40" w:after="40"/>
              <w:jc w:val="center"/>
              <w:rPr>
                <w:lang w:eastAsia="zh-CN"/>
              </w:rPr>
            </w:pPr>
            <w:r>
              <w:rPr>
                <w:lang w:eastAsia="zh-CN"/>
              </w:rPr>
              <w:t>0,23</w:t>
            </w:r>
          </w:p>
        </w:tc>
        <w:tc>
          <w:tcPr>
            <w:tcW w:w="1236" w:type="dxa"/>
            <w:tcMar>
              <w:top w:w="100" w:type="dxa"/>
              <w:left w:w="115" w:type="dxa"/>
              <w:bottom w:w="100" w:type="dxa"/>
              <w:right w:w="115" w:type="dxa"/>
            </w:tcMar>
          </w:tcPr>
          <w:p>
            <w:pPr>
              <w:suppressAutoHyphens/>
              <w:spacing w:before="40" w:after="40"/>
              <w:jc w:val="center"/>
              <w:rPr>
                <w:lang w:eastAsia="zh-CN"/>
              </w:rPr>
            </w:pPr>
            <w:r>
              <w:rPr>
                <w:lang w:eastAsia="zh-CN"/>
              </w:rPr>
              <w:t>0,24</w:t>
            </w:r>
          </w:p>
        </w:tc>
      </w:tr>
      <w:tr>
        <w:trPr>
          <w:jc w:val="center"/>
        </w:trPr>
        <w:tc>
          <w:tcPr>
            <w:tcW w:w="2826" w:type="dxa"/>
            <w:tcMar>
              <w:top w:w="100" w:type="dxa"/>
              <w:left w:w="115" w:type="dxa"/>
              <w:bottom w:w="100" w:type="dxa"/>
              <w:right w:w="115" w:type="dxa"/>
            </w:tcMar>
          </w:tcPr>
          <w:p>
            <w:pPr>
              <w:suppressAutoHyphens/>
              <w:spacing w:before="40" w:after="40"/>
              <w:rPr>
                <w:lang w:eastAsia="zh-CN"/>
              </w:rPr>
            </w:pPr>
            <w:r>
              <w:rPr>
                <w:lang w:eastAsia="zh-CN"/>
              </w:rPr>
              <w:lastRenderedPageBreak/>
              <w:t>коефіцієнт рентабельності власного капіталу</w:t>
            </w:r>
          </w:p>
        </w:tc>
        <w:tc>
          <w:tcPr>
            <w:tcW w:w="1427" w:type="dxa"/>
            <w:tcMar>
              <w:top w:w="100" w:type="dxa"/>
              <w:left w:w="115" w:type="dxa"/>
              <w:bottom w:w="100" w:type="dxa"/>
              <w:right w:w="115" w:type="dxa"/>
            </w:tcMar>
          </w:tcPr>
          <w:p>
            <w:pPr>
              <w:suppressAutoHyphens/>
              <w:spacing w:before="40" w:after="40"/>
              <w:jc w:val="center"/>
              <w:rPr>
                <w:lang w:eastAsia="zh-CN"/>
              </w:rPr>
            </w:pPr>
            <w:r>
              <w:rPr>
                <w:lang w:eastAsia="zh-CN"/>
              </w:rPr>
              <w:t>0,25</w:t>
            </w:r>
          </w:p>
        </w:tc>
        <w:tc>
          <w:tcPr>
            <w:tcW w:w="1427" w:type="dxa"/>
            <w:tcMar>
              <w:top w:w="100" w:type="dxa"/>
              <w:left w:w="115" w:type="dxa"/>
              <w:bottom w:w="100" w:type="dxa"/>
              <w:right w:w="115" w:type="dxa"/>
            </w:tcMar>
          </w:tcPr>
          <w:p>
            <w:pPr>
              <w:suppressAutoHyphens/>
              <w:spacing w:before="40" w:after="40"/>
              <w:jc w:val="center"/>
              <w:rPr>
                <w:lang w:eastAsia="zh-CN"/>
              </w:rPr>
            </w:pPr>
            <w:r>
              <w:rPr>
                <w:lang w:eastAsia="zh-CN"/>
              </w:rPr>
              <w:t>0,30</w:t>
            </w:r>
          </w:p>
        </w:tc>
        <w:tc>
          <w:tcPr>
            <w:tcW w:w="1427" w:type="dxa"/>
            <w:tcMar>
              <w:top w:w="100" w:type="dxa"/>
              <w:left w:w="115" w:type="dxa"/>
              <w:bottom w:w="100" w:type="dxa"/>
              <w:right w:w="115" w:type="dxa"/>
            </w:tcMar>
          </w:tcPr>
          <w:p>
            <w:pPr>
              <w:suppressAutoHyphens/>
              <w:spacing w:before="40" w:after="40"/>
              <w:jc w:val="center"/>
              <w:rPr>
                <w:lang w:eastAsia="zh-CN"/>
              </w:rPr>
            </w:pPr>
            <w:r>
              <w:rPr>
                <w:lang w:eastAsia="zh-CN"/>
              </w:rPr>
              <w:t>0,19</w:t>
            </w:r>
          </w:p>
        </w:tc>
        <w:tc>
          <w:tcPr>
            <w:tcW w:w="1427" w:type="dxa"/>
            <w:tcMar>
              <w:top w:w="100" w:type="dxa"/>
              <w:left w:w="115" w:type="dxa"/>
              <w:bottom w:w="100" w:type="dxa"/>
              <w:right w:w="115" w:type="dxa"/>
            </w:tcMar>
          </w:tcPr>
          <w:p>
            <w:pPr>
              <w:suppressAutoHyphens/>
              <w:spacing w:before="40" w:after="40"/>
              <w:jc w:val="center"/>
              <w:rPr>
                <w:lang w:eastAsia="zh-CN"/>
              </w:rPr>
            </w:pPr>
            <w:r>
              <w:rPr>
                <w:lang w:eastAsia="zh-CN"/>
              </w:rPr>
              <w:t>0,19</w:t>
            </w:r>
          </w:p>
        </w:tc>
        <w:tc>
          <w:tcPr>
            <w:tcW w:w="1236" w:type="dxa"/>
            <w:tcMar>
              <w:top w:w="100" w:type="dxa"/>
              <w:left w:w="115" w:type="dxa"/>
              <w:bottom w:w="100" w:type="dxa"/>
              <w:right w:w="115" w:type="dxa"/>
            </w:tcMar>
          </w:tcPr>
          <w:p>
            <w:pPr>
              <w:suppressAutoHyphens/>
              <w:spacing w:before="40" w:after="40"/>
              <w:jc w:val="center"/>
              <w:rPr>
                <w:lang w:eastAsia="zh-CN"/>
              </w:rPr>
            </w:pPr>
            <w:r>
              <w:rPr>
                <w:lang w:eastAsia="zh-CN"/>
              </w:rPr>
              <w:t>0,20</w:t>
            </w:r>
          </w:p>
        </w:tc>
      </w:tr>
      <w:tr>
        <w:trPr>
          <w:jc w:val="center"/>
        </w:trPr>
        <w:tc>
          <w:tcPr>
            <w:tcW w:w="2826" w:type="dxa"/>
            <w:tcMar>
              <w:top w:w="100" w:type="dxa"/>
              <w:left w:w="115" w:type="dxa"/>
              <w:bottom w:w="100" w:type="dxa"/>
              <w:right w:w="115" w:type="dxa"/>
            </w:tcMar>
          </w:tcPr>
          <w:p>
            <w:pPr>
              <w:suppressAutoHyphens/>
              <w:spacing w:before="40" w:after="40"/>
              <w:rPr>
                <w:b/>
                <w:lang w:eastAsia="zh-CN"/>
              </w:rPr>
            </w:pPr>
            <w:r>
              <w:rPr>
                <w:b/>
                <w:lang w:eastAsia="zh-CN"/>
              </w:rPr>
              <w:t>Коефіцієнти платоспроможності:</w:t>
            </w:r>
          </w:p>
        </w:tc>
        <w:tc>
          <w:tcPr>
            <w:tcW w:w="1427" w:type="dxa"/>
            <w:tcMar>
              <w:top w:w="100" w:type="dxa"/>
              <w:left w:w="115" w:type="dxa"/>
              <w:bottom w:w="100" w:type="dxa"/>
              <w:right w:w="115" w:type="dxa"/>
            </w:tcMar>
          </w:tcPr>
          <w:p>
            <w:pPr>
              <w:suppressAutoHyphens/>
              <w:spacing w:before="40" w:after="40"/>
              <w:jc w:val="center"/>
              <w:rPr>
                <w:b/>
                <w:lang w:eastAsia="zh-CN"/>
              </w:rPr>
            </w:pPr>
          </w:p>
        </w:tc>
        <w:tc>
          <w:tcPr>
            <w:tcW w:w="1427" w:type="dxa"/>
            <w:tcMar>
              <w:top w:w="100" w:type="dxa"/>
              <w:left w:w="115" w:type="dxa"/>
              <w:bottom w:w="100" w:type="dxa"/>
              <w:right w:w="115" w:type="dxa"/>
            </w:tcMar>
          </w:tcPr>
          <w:p>
            <w:pPr>
              <w:suppressAutoHyphens/>
              <w:spacing w:before="40" w:after="40"/>
              <w:jc w:val="center"/>
              <w:rPr>
                <w:b/>
                <w:lang w:eastAsia="zh-CN"/>
              </w:rPr>
            </w:pPr>
          </w:p>
        </w:tc>
        <w:tc>
          <w:tcPr>
            <w:tcW w:w="1427" w:type="dxa"/>
            <w:tcMar>
              <w:top w:w="100" w:type="dxa"/>
              <w:left w:w="115" w:type="dxa"/>
              <w:bottom w:w="100" w:type="dxa"/>
              <w:right w:w="115" w:type="dxa"/>
            </w:tcMar>
          </w:tcPr>
          <w:p>
            <w:pPr>
              <w:suppressAutoHyphens/>
              <w:spacing w:before="40" w:after="40"/>
              <w:jc w:val="center"/>
              <w:rPr>
                <w:b/>
                <w:lang w:eastAsia="zh-CN"/>
              </w:rPr>
            </w:pPr>
          </w:p>
        </w:tc>
        <w:tc>
          <w:tcPr>
            <w:tcW w:w="1427" w:type="dxa"/>
            <w:tcMar>
              <w:top w:w="100" w:type="dxa"/>
              <w:left w:w="115" w:type="dxa"/>
              <w:bottom w:w="100" w:type="dxa"/>
              <w:right w:w="115" w:type="dxa"/>
            </w:tcMar>
          </w:tcPr>
          <w:p>
            <w:pPr>
              <w:suppressAutoHyphens/>
              <w:spacing w:before="40" w:after="40"/>
              <w:jc w:val="center"/>
              <w:rPr>
                <w:b/>
                <w:lang w:eastAsia="zh-CN"/>
              </w:rPr>
            </w:pPr>
          </w:p>
        </w:tc>
        <w:tc>
          <w:tcPr>
            <w:tcW w:w="1236" w:type="dxa"/>
            <w:tcMar>
              <w:top w:w="100" w:type="dxa"/>
              <w:left w:w="115" w:type="dxa"/>
              <w:bottom w:w="100" w:type="dxa"/>
              <w:right w:w="115" w:type="dxa"/>
            </w:tcMar>
          </w:tcPr>
          <w:p>
            <w:pPr>
              <w:suppressAutoHyphens/>
              <w:spacing w:before="40" w:after="40"/>
              <w:jc w:val="center"/>
              <w:rPr>
                <w:b/>
                <w:lang w:eastAsia="zh-CN"/>
              </w:rPr>
            </w:pPr>
          </w:p>
        </w:tc>
      </w:tr>
      <w:tr>
        <w:trPr>
          <w:jc w:val="center"/>
        </w:trPr>
        <w:tc>
          <w:tcPr>
            <w:tcW w:w="2826" w:type="dxa"/>
            <w:tcMar>
              <w:top w:w="100" w:type="dxa"/>
              <w:left w:w="115" w:type="dxa"/>
              <w:bottom w:w="100" w:type="dxa"/>
              <w:right w:w="115" w:type="dxa"/>
            </w:tcMar>
          </w:tcPr>
          <w:p>
            <w:pPr>
              <w:suppressAutoHyphens/>
              <w:spacing w:before="40" w:after="40"/>
              <w:rPr>
                <w:lang w:eastAsia="zh-CN"/>
              </w:rPr>
            </w:pPr>
            <w:r>
              <w:rPr>
                <w:lang w:eastAsia="zh-CN"/>
              </w:rPr>
              <w:t>коефіцієнт фінансової стійкості</w:t>
            </w:r>
          </w:p>
        </w:tc>
        <w:tc>
          <w:tcPr>
            <w:tcW w:w="1427" w:type="dxa"/>
            <w:tcMar>
              <w:top w:w="100" w:type="dxa"/>
              <w:left w:w="115" w:type="dxa"/>
              <w:bottom w:w="100" w:type="dxa"/>
              <w:right w:w="115" w:type="dxa"/>
            </w:tcMar>
          </w:tcPr>
          <w:p>
            <w:pPr>
              <w:suppressAutoHyphens/>
              <w:spacing w:before="40" w:after="40"/>
              <w:jc w:val="center"/>
              <w:rPr>
                <w:lang w:eastAsia="zh-CN"/>
              </w:rPr>
            </w:pPr>
            <w:r>
              <w:rPr>
                <w:lang w:eastAsia="zh-CN"/>
              </w:rPr>
              <w:t>0,68</w:t>
            </w:r>
          </w:p>
        </w:tc>
        <w:tc>
          <w:tcPr>
            <w:tcW w:w="1427" w:type="dxa"/>
            <w:tcMar>
              <w:top w:w="100" w:type="dxa"/>
              <w:left w:w="115" w:type="dxa"/>
              <w:bottom w:w="100" w:type="dxa"/>
              <w:right w:w="115" w:type="dxa"/>
            </w:tcMar>
          </w:tcPr>
          <w:p>
            <w:pPr>
              <w:suppressAutoHyphens/>
              <w:spacing w:before="40" w:after="40"/>
              <w:jc w:val="center"/>
              <w:rPr>
                <w:lang w:eastAsia="zh-CN"/>
              </w:rPr>
            </w:pPr>
            <w:r>
              <w:rPr>
                <w:lang w:eastAsia="zh-CN"/>
              </w:rPr>
              <w:t>0,23</w:t>
            </w:r>
          </w:p>
        </w:tc>
        <w:tc>
          <w:tcPr>
            <w:tcW w:w="1427" w:type="dxa"/>
            <w:tcMar>
              <w:top w:w="100" w:type="dxa"/>
              <w:left w:w="115" w:type="dxa"/>
              <w:bottom w:w="100" w:type="dxa"/>
              <w:right w:w="115" w:type="dxa"/>
            </w:tcMar>
          </w:tcPr>
          <w:p>
            <w:pPr>
              <w:suppressAutoHyphens/>
              <w:spacing w:before="40" w:after="40"/>
              <w:jc w:val="center"/>
              <w:rPr>
                <w:lang w:eastAsia="zh-CN"/>
              </w:rPr>
            </w:pPr>
            <w:r>
              <w:rPr>
                <w:lang w:eastAsia="zh-CN"/>
              </w:rPr>
              <w:t>0,91</w:t>
            </w:r>
          </w:p>
        </w:tc>
        <w:tc>
          <w:tcPr>
            <w:tcW w:w="1427" w:type="dxa"/>
            <w:tcMar>
              <w:top w:w="100" w:type="dxa"/>
              <w:left w:w="115" w:type="dxa"/>
              <w:bottom w:w="100" w:type="dxa"/>
              <w:right w:w="115" w:type="dxa"/>
            </w:tcMar>
          </w:tcPr>
          <w:p>
            <w:pPr>
              <w:suppressAutoHyphens/>
              <w:spacing w:before="40" w:after="40"/>
              <w:jc w:val="center"/>
              <w:rPr>
                <w:lang w:eastAsia="zh-CN"/>
              </w:rPr>
            </w:pPr>
            <w:r>
              <w:rPr>
                <w:lang w:eastAsia="zh-CN"/>
              </w:rPr>
              <w:t>0,67</w:t>
            </w:r>
          </w:p>
        </w:tc>
        <w:tc>
          <w:tcPr>
            <w:tcW w:w="1236" w:type="dxa"/>
            <w:tcMar>
              <w:top w:w="100" w:type="dxa"/>
              <w:left w:w="115" w:type="dxa"/>
              <w:bottom w:w="100" w:type="dxa"/>
              <w:right w:w="115" w:type="dxa"/>
            </w:tcMar>
          </w:tcPr>
          <w:p>
            <w:pPr>
              <w:suppressAutoHyphens/>
              <w:spacing w:before="40" w:after="40"/>
              <w:jc w:val="center"/>
              <w:rPr>
                <w:lang w:eastAsia="zh-CN"/>
              </w:rPr>
            </w:pPr>
            <w:r>
              <w:rPr>
                <w:lang w:eastAsia="zh-CN"/>
              </w:rPr>
              <w:t>0,65</w:t>
            </w:r>
          </w:p>
        </w:tc>
      </w:tr>
      <w:tr>
        <w:trPr>
          <w:jc w:val="center"/>
        </w:trPr>
        <w:tc>
          <w:tcPr>
            <w:tcW w:w="2826" w:type="dxa"/>
            <w:tcMar>
              <w:top w:w="100" w:type="dxa"/>
              <w:left w:w="115" w:type="dxa"/>
              <w:bottom w:w="100" w:type="dxa"/>
              <w:right w:w="115" w:type="dxa"/>
            </w:tcMar>
          </w:tcPr>
          <w:p>
            <w:pPr>
              <w:suppressAutoHyphens/>
              <w:spacing w:before="40" w:after="40"/>
              <w:rPr>
                <w:b/>
                <w:lang w:eastAsia="zh-CN"/>
              </w:rPr>
            </w:pPr>
            <w:r>
              <w:rPr>
                <w:b/>
                <w:lang w:eastAsia="zh-CN"/>
              </w:rPr>
              <w:t>Коефіцієнти ліквідності:</w:t>
            </w:r>
          </w:p>
        </w:tc>
        <w:tc>
          <w:tcPr>
            <w:tcW w:w="1427" w:type="dxa"/>
            <w:tcMar>
              <w:top w:w="100" w:type="dxa"/>
              <w:left w:w="115" w:type="dxa"/>
              <w:bottom w:w="100" w:type="dxa"/>
              <w:right w:w="115" w:type="dxa"/>
            </w:tcMar>
          </w:tcPr>
          <w:p>
            <w:pPr>
              <w:suppressAutoHyphens/>
              <w:spacing w:before="40" w:after="40"/>
              <w:jc w:val="center"/>
              <w:rPr>
                <w:b/>
                <w:lang w:eastAsia="zh-CN"/>
              </w:rPr>
            </w:pPr>
          </w:p>
        </w:tc>
        <w:tc>
          <w:tcPr>
            <w:tcW w:w="1427" w:type="dxa"/>
            <w:tcMar>
              <w:top w:w="100" w:type="dxa"/>
              <w:left w:w="115" w:type="dxa"/>
              <w:bottom w:w="100" w:type="dxa"/>
              <w:right w:w="115" w:type="dxa"/>
            </w:tcMar>
          </w:tcPr>
          <w:p>
            <w:pPr>
              <w:suppressAutoHyphens/>
              <w:spacing w:before="40" w:after="40"/>
              <w:jc w:val="center"/>
              <w:rPr>
                <w:b/>
                <w:lang w:eastAsia="zh-CN"/>
              </w:rPr>
            </w:pPr>
          </w:p>
        </w:tc>
        <w:tc>
          <w:tcPr>
            <w:tcW w:w="1427" w:type="dxa"/>
            <w:tcMar>
              <w:top w:w="100" w:type="dxa"/>
              <w:left w:w="115" w:type="dxa"/>
              <w:bottom w:w="100" w:type="dxa"/>
              <w:right w:w="115" w:type="dxa"/>
            </w:tcMar>
          </w:tcPr>
          <w:p>
            <w:pPr>
              <w:suppressAutoHyphens/>
              <w:spacing w:before="40" w:after="40"/>
              <w:jc w:val="center"/>
              <w:rPr>
                <w:b/>
                <w:lang w:eastAsia="zh-CN"/>
              </w:rPr>
            </w:pPr>
          </w:p>
        </w:tc>
        <w:tc>
          <w:tcPr>
            <w:tcW w:w="1427" w:type="dxa"/>
            <w:tcMar>
              <w:top w:w="100" w:type="dxa"/>
              <w:left w:w="115" w:type="dxa"/>
              <w:bottom w:w="100" w:type="dxa"/>
              <w:right w:w="115" w:type="dxa"/>
            </w:tcMar>
          </w:tcPr>
          <w:p>
            <w:pPr>
              <w:suppressAutoHyphens/>
              <w:spacing w:before="40" w:after="40"/>
              <w:jc w:val="center"/>
              <w:rPr>
                <w:b/>
                <w:lang w:eastAsia="zh-CN"/>
              </w:rPr>
            </w:pPr>
          </w:p>
        </w:tc>
        <w:tc>
          <w:tcPr>
            <w:tcW w:w="1236" w:type="dxa"/>
            <w:tcMar>
              <w:top w:w="100" w:type="dxa"/>
              <w:left w:w="115" w:type="dxa"/>
              <w:bottom w:w="100" w:type="dxa"/>
              <w:right w:w="115" w:type="dxa"/>
            </w:tcMar>
          </w:tcPr>
          <w:p>
            <w:pPr>
              <w:suppressAutoHyphens/>
              <w:spacing w:before="40" w:after="40"/>
              <w:jc w:val="center"/>
              <w:rPr>
                <w:b/>
                <w:lang w:eastAsia="zh-CN"/>
              </w:rPr>
            </w:pPr>
          </w:p>
        </w:tc>
      </w:tr>
      <w:tr>
        <w:trPr>
          <w:jc w:val="center"/>
        </w:trPr>
        <w:tc>
          <w:tcPr>
            <w:tcW w:w="2826" w:type="dxa"/>
            <w:tcMar>
              <w:top w:w="100" w:type="dxa"/>
              <w:left w:w="115" w:type="dxa"/>
              <w:bottom w:w="100" w:type="dxa"/>
              <w:right w:w="115" w:type="dxa"/>
            </w:tcMar>
          </w:tcPr>
          <w:p>
            <w:pPr>
              <w:suppressAutoHyphens/>
              <w:spacing w:before="40" w:after="40"/>
              <w:rPr>
                <w:lang w:eastAsia="zh-CN"/>
              </w:rPr>
            </w:pPr>
            <w:r>
              <w:rPr>
                <w:lang w:eastAsia="zh-CN"/>
              </w:rPr>
              <w:t>коефіцієнт швидкої ліквідності</w:t>
            </w:r>
          </w:p>
        </w:tc>
        <w:tc>
          <w:tcPr>
            <w:tcW w:w="1427" w:type="dxa"/>
            <w:tcMar>
              <w:top w:w="100" w:type="dxa"/>
              <w:left w:w="115" w:type="dxa"/>
              <w:bottom w:w="100" w:type="dxa"/>
              <w:right w:w="115" w:type="dxa"/>
            </w:tcMar>
          </w:tcPr>
          <w:p>
            <w:pPr>
              <w:suppressAutoHyphens/>
              <w:spacing w:before="40" w:after="40"/>
              <w:jc w:val="center"/>
              <w:rPr>
                <w:lang w:eastAsia="zh-CN"/>
              </w:rPr>
            </w:pPr>
            <w:r>
              <w:rPr>
                <w:lang w:eastAsia="zh-CN"/>
              </w:rPr>
              <w:t>1,32</w:t>
            </w:r>
          </w:p>
        </w:tc>
        <w:tc>
          <w:tcPr>
            <w:tcW w:w="1427" w:type="dxa"/>
            <w:tcMar>
              <w:top w:w="100" w:type="dxa"/>
              <w:left w:w="115" w:type="dxa"/>
              <w:bottom w:w="100" w:type="dxa"/>
              <w:right w:w="115" w:type="dxa"/>
            </w:tcMar>
          </w:tcPr>
          <w:p>
            <w:pPr>
              <w:suppressAutoHyphens/>
              <w:spacing w:before="40" w:after="40"/>
              <w:jc w:val="center"/>
              <w:rPr>
                <w:lang w:eastAsia="zh-CN"/>
              </w:rPr>
            </w:pPr>
            <w:r>
              <w:rPr>
                <w:lang w:eastAsia="zh-CN"/>
              </w:rPr>
              <w:t>1,07</w:t>
            </w:r>
          </w:p>
        </w:tc>
        <w:tc>
          <w:tcPr>
            <w:tcW w:w="1427" w:type="dxa"/>
            <w:tcMar>
              <w:top w:w="100" w:type="dxa"/>
              <w:left w:w="115" w:type="dxa"/>
              <w:bottom w:w="100" w:type="dxa"/>
              <w:right w:w="115" w:type="dxa"/>
            </w:tcMar>
          </w:tcPr>
          <w:p>
            <w:pPr>
              <w:suppressAutoHyphens/>
              <w:spacing w:before="40" w:after="40"/>
              <w:jc w:val="center"/>
              <w:rPr>
                <w:lang w:eastAsia="zh-CN"/>
              </w:rPr>
            </w:pPr>
            <w:r>
              <w:rPr>
                <w:lang w:eastAsia="zh-CN"/>
              </w:rPr>
              <w:t>1,35</w:t>
            </w:r>
          </w:p>
        </w:tc>
        <w:tc>
          <w:tcPr>
            <w:tcW w:w="1427" w:type="dxa"/>
            <w:tcMar>
              <w:top w:w="100" w:type="dxa"/>
              <w:left w:w="115" w:type="dxa"/>
              <w:bottom w:w="100" w:type="dxa"/>
              <w:right w:w="115" w:type="dxa"/>
            </w:tcMar>
          </w:tcPr>
          <w:p>
            <w:pPr>
              <w:suppressAutoHyphens/>
              <w:spacing w:before="40" w:after="40"/>
              <w:jc w:val="center"/>
              <w:rPr>
                <w:lang w:eastAsia="zh-CN"/>
              </w:rPr>
            </w:pPr>
            <w:r>
              <w:rPr>
                <w:lang w:eastAsia="zh-CN"/>
              </w:rPr>
              <w:t>1,34</w:t>
            </w:r>
          </w:p>
        </w:tc>
        <w:tc>
          <w:tcPr>
            <w:tcW w:w="1236" w:type="dxa"/>
            <w:tcMar>
              <w:top w:w="100" w:type="dxa"/>
              <w:left w:w="115" w:type="dxa"/>
              <w:bottom w:w="100" w:type="dxa"/>
              <w:right w:w="115" w:type="dxa"/>
            </w:tcMar>
          </w:tcPr>
          <w:p>
            <w:pPr>
              <w:suppressAutoHyphens/>
              <w:spacing w:before="40" w:after="40"/>
              <w:jc w:val="center"/>
              <w:rPr>
                <w:lang w:eastAsia="zh-CN"/>
              </w:rPr>
            </w:pPr>
            <w:r>
              <w:rPr>
                <w:lang w:eastAsia="zh-CN"/>
              </w:rPr>
              <w:t>1,23</w:t>
            </w:r>
          </w:p>
        </w:tc>
      </w:tr>
      <w:tr>
        <w:trPr>
          <w:jc w:val="center"/>
        </w:trPr>
        <w:tc>
          <w:tcPr>
            <w:tcW w:w="9770" w:type="dxa"/>
            <w:gridSpan w:val="6"/>
            <w:tcMar>
              <w:top w:w="100" w:type="dxa"/>
              <w:left w:w="115" w:type="dxa"/>
              <w:bottom w:w="100" w:type="dxa"/>
              <w:right w:w="115" w:type="dxa"/>
            </w:tcMar>
          </w:tcPr>
          <w:p>
            <w:pPr>
              <w:suppressAutoHyphens/>
              <w:spacing w:before="40" w:after="40"/>
              <w:rPr>
                <w:b/>
                <w:i/>
                <w:lang w:eastAsia="zh-CN"/>
              </w:rPr>
            </w:pPr>
            <w:r>
              <w:rPr>
                <w:b/>
                <w:i/>
                <w:lang w:eastAsia="zh-CN"/>
              </w:rPr>
              <w:t>Виплати на користь держави, тис. грн</w:t>
            </w:r>
          </w:p>
        </w:tc>
      </w:tr>
      <w:tr>
        <w:trPr>
          <w:jc w:val="center"/>
        </w:trPr>
        <w:tc>
          <w:tcPr>
            <w:tcW w:w="2826" w:type="dxa"/>
            <w:tcMar>
              <w:top w:w="100" w:type="dxa"/>
              <w:left w:w="115" w:type="dxa"/>
              <w:bottom w:w="100" w:type="dxa"/>
              <w:right w:w="115" w:type="dxa"/>
            </w:tcMar>
          </w:tcPr>
          <w:p>
            <w:pPr>
              <w:suppressAutoHyphens/>
              <w:spacing w:before="40" w:after="40"/>
              <w:rPr>
                <w:b/>
                <w:lang w:eastAsia="zh-CN"/>
              </w:rPr>
            </w:pPr>
            <w:r>
              <w:rPr>
                <w:b/>
                <w:lang w:eastAsia="zh-CN"/>
              </w:rPr>
              <w:t>Податкові, разом, з них:</w:t>
            </w:r>
          </w:p>
        </w:tc>
        <w:tc>
          <w:tcPr>
            <w:tcW w:w="1427" w:type="dxa"/>
            <w:tcMar>
              <w:top w:w="100" w:type="dxa"/>
              <w:left w:w="115" w:type="dxa"/>
              <w:bottom w:w="100" w:type="dxa"/>
              <w:right w:w="115" w:type="dxa"/>
            </w:tcMar>
            <w:vAlign w:val="center"/>
          </w:tcPr>
          <w:p>
            <w:pPr>
              <w:suppressAutoHyphens/>
              <w:spacing w:before="40" w:after="40"/>
              <w:jc w:val="center"/>
              <w:rPr>
                <w:lang w:eastAsia="zh-CN"/>
              </w:rPr>
            </w:pPr>
            <w:r>
              <w:rPr>
                <w:lang w:eastAsia="zh-CN"/>
              </w:rPr>
              <w:t>128 307</w:t>
            </w:r>
          </w:p>
        </w:tc>
        <w:tc>
          <w:tcPr>
            <w:tcW w:w="1427" w:type="dxa"/>
            <w:tcMar>
              <w:top w:w="100" w:type="dxa"/>
              <w:left w:w="115" w:type="dxa"/>
              <w:bottom w:w="100" w:type="dxa"/>
              <w:right w:w="115" w:type="dxa"/>
            </w:tcMar>
            <w:vAlign w:val="center"/>
          </w:tcPr>
          <w:p>
            <w:pPr>
              <w:suppressAutoHyphens/>
              <w:spacing w:before="40" w:after="40"/>
              <w:jc w:val="center"/>
              <w:rPr>
                <w:lang w:eastAsia="zh-CN"/>
              </w:rPr>
            </w:pPr>
            <w:r>
              <w:rPr>
                <w:lang w:eastAsia="zh-CN"/>
              </w:rPr>
              <w:t>185 128</w:t>
            </w:r>
          </w:p>
        </w:tc>
        <w:tc>
          <w:tcPr>
            <w:tcW w:w="1427" w:type="dxa"/>
            <w:tcMar>
              <w:top w:w="100" w:type="dxa"/>
              <w:left w:w="115" w:type="dxa"/>
              <w:bottom w:w="100" w:type="dxa"/>
              <w:right w:w="115" w:type="dxa"/>
            </w:tcMar>
            <w:vAlign w:val="center"/>
          </w:tcPr>
          <w:p>
            <w:pPr>
              <w:suppressAutoHyphens/>
              <w:spacing w:before="40" w:after="40"/>
              <w:jc w:val="center"/>
              <w:rPr>
                <w:lang w:eastAsia="zh-CN"/>
              </w:rPr>
            </w:pPr>
            <w:r>
              <w:rPr>
                <w:lang w:eastAsia="zh-CN"/>
              </w:rPr>
              <w:t>160 273</w:t>
            </w:r>
          </w:p>
        </w:tc>
        <w:tc>
          <w:tcPr>
            <w:tcW w:w="1427" w:type="dxa"/>
            <w:tcMar>
              <w:top w:w="100" w:type="dxa"/>
              <w:left w:w="115" w:type="dxa"/>
              <w:bottom w:w="100" w:type="dxa"/>
              <w:right w:w="115" w:type="dxa"/>
            </w:tcMar>
            <w:vAlign w:val="center"/>
          </w:tcPr>
          <w:p>
            <w:pPr>
              <w:suppressAutoHyphens/>
              <w:spacing w:before="40" w:after="40"/>
              <w:jc w:val="center"/>
              <w:rPr>
                <w:lang w:eastAsia="zh-CN"/>
              </w:rPr>
            </w:pPr>
            <w:r>
              <w:rPr>
                <w:bCs/>
              </w:rPr>
              <w:t>171 179</w:t>
            </w:r>
          </w:p>
        </w:tc>
        <w:tc>
          <w:tcPr>
            <w:tcW w:w="1236" w:type="dxa"/>
            <w:tcMar>
              <w:top w:w="100" w:type="dxa"/>
              <w:left w:w="115" w:type="dxa"/>
              <w:bottom w:w="100" w:type="dxa"/>
              <w:right w:w="115" w:type="dxa"/>
            </w:tcMar>
            <w:vAlign w:val="center"/>
          </w:tcPr>
          <w:p>
            <w:pPr>
              <w:suppressAutoHyphens/>
              <w:spacing w:before="40" w:after="40"/>
              <w:jc w:val="center"/>
              <w:rPr>
                <w:lang w:eastAsia="zh-CN"/>
              </w:rPr>
            </w:pPr>
            <w:r>
              <w:rPr>
                <w:bCs/>
              </w:rPr>
              <w:t>178 174</w:t>
            </w:r>
          </w:p>
        </w:tc>
      </w:tr>
      <w:tr>
        <w:trPr>
          <w:jc w:val="center"/>
        </w:trPr>
        <w:tc>
          <w:tcPr>
            <w:tcW w:w="2826" w:type="dxa"/>
            <w:tcMar>
              <w:top w:w="100" w:type="dxa"/>
              <w:left w:w="115" w:type="dxa"/>
              <w:bottom w:w="100" w:type="dxa"/>
              <w:right w:w="115" w:type="dxa"/>
            </w:tcMar>
          </w:tcPr>
          <w:p>
            <w:pPr>
              <w:suppressAutoHyphens/>
              <w:spacing w:before="40" w:after="40"/>
              <w:rPr>
                <w:lang w:eastAsia="zh-CN"/>
              </w:rPr>
            </w:pPr>
            <w:r>
              <w:rPr>
                <w:lang w:eastAsia="zh-CN"/>
              </w:rPr>
              <w:t>податок на прибуток</w:t>
            </w:r>
          </w:p>
        </w:tc>
        <w:tc>
          <w:tcPr>
            <w:tcW w:w="1427" w:type="dxa"/>
            <w:tcMar>
              <w:top w:w="100" w:type="dxa"/>
              <w:left w:w="115" w:type="dxa"/>
              <w:bottom w:w="100" w:type="dxa"/>
              <w:right w:w="115" w:type="dxa"/>
            </w:tcMar>
            <w:vAlign w:val="center"/>
          </w:tcPr>
          <w:p>
            <w:pPr>
              <w:suppressAutoHyphens/>
              <w:spacing w:before="40" w:after="40"/>
              <w:jc w:val="center"/>
              <w:rPr>
                <w:lang w:eastAsia="zh-CN"/>
              </w:rPr>
            </w:pPr>
            <w:r>
              <w:rPr>
                <w:lang w:eastAsia="zh-CN"/>
              </w:rPr>
              <w:t>26 915</w:t>
            </w:r>
          </w:p>
        </w:tc>
        <w:tc>
          <w:tcPr>
            <w:tcW w:w="1427" w:type="dxa"/>
            <w:tcMar>
              <w:top w:w="100" w:type="dxa"/>
              <w:left w:w="115" w:type="dxa"/>
              <w:bottom w:w="100" w:type="dxa"/>
              <w:right w:w="115" w:type="dxa"/>
            </w:tcMar>
            <w:vAlign w:val="center"/>
          </w:tcPr>
          <w:p>
            <w:pPr>
              <w:suppressAutoHyphens/>
              <w:spacing w:before="40" w:after="40"/>
              <w:jc w:val="center"/>
              <w:rPr>
                <w:lang w:eastAsia="zh-CN"/>
              </w:rPr>
            </w:pPr>
            <w:r>
              <w:rPr>
                <w:lang w:eastAsia="zh-CN"/>
              </w:rPr>
              <w:t>4 353</w:t>
            </w:r>
          </w:p>
        </w:tc>
        <w:tc>
          <w:tcPr>
            <w:tcW w:w="1427" w:type="dxa"/>
            <w:tcMar>
              <w:top w:w="100" w:type="dxa"/>
              <w:left w:w="115" w:type="dxa"/>
              <w:bottom w:w="100" w:type="dxa"/>
              <w:right w:w="115" w:type="dxa"/>
            </w:tcMar>
            <w:vAlign w:val="center"/>
          </w:tcPr>
          <w:p>
            <w:pPr>
              <w:suppressAutoHyphens/>
              <w:spacing w:before="40" w:after="40"/>
              <w:jc w:val="center"/>
              <w:rPr>
                <w:lang w:eastAsia="zh-CN"/>
              </w:rPr>
            </w:pPr>
            <w:r>
              <w:rPr>
                <w:lang w:eastAsia="zh-CN"/>
              </w:rPr>
              <w:t>5 943</w:t>
            </w:r>
          </w:p>
        </w:tc>
        <w:tc>
          <w:tcPr>
            <w:tcW w:w="1427" w:type="dxa"/>
            <w:tcMar>
              <w:top w:w="100" w:type="dxa"/>
              <w:left w:w="115" w:type="dxa"/>
              <w:bottom w:w="100" w:type="dxa"/>
              <w:right w:w="115" w:type="dxa"/>
            </w:tcMar>
            <w:vAlign w:val="center"/>
          </w:tcPr>
          <w:p>
            <w:pPr>
              <w:suppressAutoHyphens/>
              <w:spacing w:before="40" w:after="40"/>
              <w:jc w:val="center"/>
              <w:rPr>
                <w:lang w:eastAsia="zh-CN"/>
              </w:rPr>
            </w:pPr>
            <w:r>
              <w:t>6 805</w:t>
            </w:r>
          </w:p>
        </w:tc>
        <w:tc>
          <w:tcPr>
            <w:tcW w:w="1236" w:type="dxa"/>
            <w:tcMar>
              <w:top w:w="100" w:type="dxa"/>
              <w:left w:w="115" w:type="dxa"/>
              <w:bottom w:w="100" w:type="dxa"/>
              <w:right w:w="115" w:type="dxa"/>
            </w:tcMar>
            <w:vAlign w:val="center"/>
          </w:tcPr>
          <w:p>
            <w:pPr>
              <w:suppressAutoHyphens/>
              <w:spacing w:before="40" w:after="40"/>
              <w:jc w:val="center"/>
              <w:rPr>
                <w:lang w:eastAsia="zh-CN"/>
              </w:rPr>
            </w:pPr>
            <w:r>
              <w:t>7 223</w:t>
            </w:r>
          </w:p>
        </w:tc>
      </w:tr>
      <w:tr>
        <w:trPr>
          <w:jc w:val="center"/>
        </w:trPr>
        <w:tc>
          <w:tcPr>
            <w:tcW w:w="2826" w:type="dxa"/>
            <w:tcMar>
              <w:top w:w="100" w:type="dxa"/>
              <w:left w:w="115" w:type="dxa"/>
              <w:bottom w:w="100" w:type="dxa"/>
              <w:right w:w="115" w:type="dxa"/>
            </w:tcMar>
          </w:tcPr>
          <w:p>
            <w:pPr>
              <w:suppressAutoHyphens/>
              <w:spacing w:before="40" w:after="40"/>
              <w:rPr>
                <w:lang w:eastAsia="zh-CN"/>
              </w:rPr>
            </w:pPr>
            <w:r>
              <w:rPr>
                <w:lang w:eastAsia="zh-CN"/>
              </w:rPr>
              <w:t>ПДВ</w:t>
            </w:r>
          </w:p>
        </w:tc>
        <w:tc>
          <w:tcPr>
            <w:tcW w:w="1427" w:type="dxa"/>
            <w:tcMar>
              <w:top w:w="100" w:type="dxa"/>
              <w:left w:w="115" w:type="dxa"/>
              <w:bottom w:w="100" w:type="dxa"/>
              <w:right w:w="115" w:type="dxa"/>
            </w:tcMar>
            <w:vAlign w:val="center"/>
          </w:tcPr>
          <w:p>
            <w:pPr>
              <w:suppressAutoHyphens/>
              <w:spacing w:before="40" w:after="40"/>
              <w:jc w:val="center"/>
              <w:rPr>
                <w:lang w:eastAsia="zh-CN"/>
              </w:rPr>
            </w:pPr>
            <w:r>
              <w:rPr>
                <w:lang w:eastAsia="zh-CN"/>
              </w:rPr>
              <w:t>46 604</w:t>
            </w:r>
          </w:p>
        </w:tc>
        <w:tc>
          <w:tcPr>
            <w:tcW w:w="1427" w:type="dxa"/>
            <w:tcMar>
              <w:top w:w="100" w:type="dxa"/>
              <w:left w:w="115" w:type="dxa"/>
              <w:bottom w:w="100" w:type="dxa"/>
              <w:right w:w="115" w:type="dxa"/>
            </w:tcMar>
            <w:vAlign w:val="center"/>
          </w:tcPr>
          <w:p>
            <w:pPr>
              <w:suppressAutoHyphens/>
              <w:spacing w:before="40" w:after="40"/>
              <w:jc w:val="center"/>
              <w:rPr>
                <w:lang w:eastAsia="zh-CN"/>
              </w:rPr>
            </w:pPr>
            <w:r>
              <w:rPr>
                <w:lang w:eastAsia="zh-CN"/>
              </w:rPr>
              <w:t>119 104</w:t>
            </w:r>
          </w:p>
        </w:tc>
        <w:tc>
          <w:tcPr>
            <w:tcW w:w="1427" w:type="dxa"/>
            <w:tcMar>
              <w:top w:w="100" w:type="dxa"/>
              <w:left w:w="115" w:type="dxa"/>
              <w:bottom w:w="100" w:type="dxa"/>
              <w:right w:w="115" w:type="dxa"/>
            </w:tcMar>
            <w:vAlign w:val="center"/>
          </w:tcPr>
          <w:p>
            <w:pPr>
              <w:suppressAutoHyphens/>
              <w:spacing w:before="40" w:after="40"/>
              <w:jc w:val="center"/>
              <w:rPr>
                <w:lang w:eastAsia="zh-CN"/>
              </w:rPr>
            </w:pPr>
            <w:r>
              <w:rPr>
                <w:lang w:eastAsia="zh-CN"/>
              </w:rPr>
              <w:t>77 926</w:t>
            </w:r>
          </w:p>
        </w:tc>
        <w:tc>
          <w:tcPr>
            <w:tcW w:w="1427" w:type="dxa"/>
            <w:tcMar>
              <w:top w:w="100" w:type="dxa"/>
              <w:left w:w="115" w:type="dxa"/>
              <w:bottom w:w="100" w:type="dxa"/>
              <w:right w:w="115" w:type="dxa"/>
            </w:tcMar>
            <w:vAlign w:val="center"/>
          </w:tcPr>
          <w:p>
            <w:pPr>
              <w:suppressAutoHyphens/>
              <w:spacing w:before="40" w:after="40"/>
              <w:jc w:val="center"/>
              <w:rPr>
                <w:lang w:eastAsia="zh-CN"/>
              </w:rPr>
            </w:pPr>
            <w:r>
              <w:t>79 099</w:t>
            </w:r>
          </w:p>
        </w:tc>
        <w:tc>
          <w:tcPr>
            <w:tcW w:w="1236" w:type="dxa"/>
            <w:tcMar>
              <w:top w:w="100" w:type="dxa"/>
              <w:left w:w="115" w:type="dxa"/>
              <w:bottom w:w="100" w:type="dxa"/>
              <w:right w:w="115" w:type="dxa"/>
            </w:tcMar>
            <w:vAlign w:val="center"/>
          </w:tcPr>
          <w:p>
            <w:pPr>
              <w:suppressAutoHyphens/>
              <w:spacing w:before="40" w:after="40"/>
              <w:jc w:val="center"/>
              <w:rPr>
                <w:lang w:eastAsia="zh-CN"/>
              </w:rPr>
            </w:pPr>
            <w:r>
              <w:t>82 264</w:t>
            </w:r>
          </w:p>
        </w:tc>
      </w:tr>
      <w:tr>
        <w:trPr>
          <w:jc w:val="center"/>
        </w:trPr>
        <w:tc>
          <w:tcPr>
            <w:tcW w:w="2826" w:type="dxa"/>
            <w:tcMar>
              <w:top w:w="100" w:type="dxa"/>
              <w:left w:w="115" w:type="dxa"/>
              <w:bottom w:w="100" w:type="dxa"/>
              <w:right w:w="115" w:type="dxa"/>
            </w:tcMar>
          </w:tcPr>
          <w:p>
            <w:pPr>
              <w:suppressAutoHyphens/>
              <w:spacing w:before="40" w:after="40"/>
              <w:rPr>
                <w:lang w:eastAsia="zh-CN"/>
              </w:rPr>
            </w:pPr>
            <w:r>
              <w:rPr>
                <w:lang w:eastAsia="zh-CN"/>
              </w:rPr>
              <w:t>рентна плата</w:t>
            </w:r>
          </w:p>
        </w:tc>
        <w:tc>
          <w:tcPr>
            <w:tcW w:w="1427" w:type="dxa"/>
            <w:tcMar>
              <w:top w:w="100" w:type="dxa"/>
              <w:left w:w="115" w:type="dxa"/>
              <w:bottom w:w="100" w:type="dxa"/>
              <w:right w:w="115" w:type="dxa"/>
            </w:tcMar>
          </w:tcPr>
          <w:p>
            <w:pPr>
              <w:suppressAutoHyphens/>
              <w:spacing w:before="40" w:after="40"/>
              <w:jc w:val="center"/>
              <w:rPr>
                <w:lang w:eastAsia="zh-CN"/>
              </w:rPr>
            </w:pPr>
            <w:r>
              <w:rPr>
                <w:lang w:eastAsia="zh-CN"/>
              </w:rPr>
              <w:t>-</w:t>
            </w:r>
          </w:p>
        </w:tc>
        <w:tc>
          <w:tcPr>
            <w:tcW w:w="1427" w:type="dxa"/>
            <w:tcMar>
              <w:top w:w="100" w:type="dxa"/>
              <w:left w:w="115" w:type="dxa"/>
              <w:bottom w:w="100" w:type="dxa"/>
              <w:right w:w="115" w:type="dxa"/>
            </w:tcMar>
          </w:tcPr>
          <w:p>
            <w:pPr>
              <w:suppressAutoHyphens/>
              <w:spacing w:before="40" w:after="40"/>
              <w:jc w:val="center"/>
              <w:rPr>
                <w:lang w:eastAsia="zh-CN"/>
              </w:rPr>
            </w:pPr>
            <w:r>
              <w:rPr>
                <w:lang w:eastAsia="zh-CN"/>
              </w:rPr>
              <w:t>-</w:t>
            </w:r>
          </w:p>
        </w:tc>
        <w:tc>
          <w:tcPr>
            <w:tcW w:w="1427" w:type="dxa"/>
            <w:tcMar>
              <w:top w:w="100" w:type="dxa"/>
              <w:left w:w="115" w:type="dxa"/>
              <w:bottom w:w="100" w:type="dxa"/>
              <w:right w:w="115" w:type="dxa"/>
            </w:tcMar>
          </w:tcPr>
          <w:p>
            <w:pPr>
              <w:suppressAutoHyphens/>
              <w:spacing w:before="40" w:after="40"/>
              <w:jc w:val="center"/>
              <w:rPr>
                <w:lang w:eastAsia="zh-CN"/>
              </w:rPr>
            </w:pPr>
            <w:r>
              <w:rPr>
                <w:lang w:eastAsia="zh-CN"/>
              </w:rPr>
              <w:t>-</w:t>
            </w:r>
          </w:p>
        </w:tc>
        <w:tc>
          <w:tcPr>
            <w:tcW w:w="1427" w:type="dxa"/>
            <w:tcMar>
              <w:top w:w="100" w:type="dxa"/>
              <w:left w:w="115" w:type="dxa"/>
              <w:bottom w:w="100" w:type="dxa"/>
              <w:right w:w="115" w:type="dxa"/>
            </w:tcMar>
          </w:tcPr>
          <w:p>
            <w:pPr>
              <w:suppressAutoHyphens/>
              <w:spacing w:before="40" w:after="40"/>
              <w:jc w:val="center"/>
              <w:rPr>
                <w:lang w:eastAsia="zh-CN"/>
              </w:rPr>
            </w:pPr>
            <w:r>
              <w:rPr>
                <w:lang w:eastAsia="zh-CN"/>
              </w:rPr>
              <w:t>-</w:t>
            </w:r>
          </w:p>
        </w:tc>
        <w:tc>
          <w:tcPr>
            <w:tcW w:w="1236" w:type="dxa"/>
            <w:tcMar>
              <w:top w:w="100" w:type="dxa"/>
              <w:left w:w="115" w:type="dxa"/>
              <w:bottom w:w="100" w:type="dxa"/>
              <w:right w:w="115" w:type="dxa"/>
            </w:tcMar>
          </w:tcPr>
          <w:p>
            <w:pPr>
              <w:suppressAutoHyphens/>
              <w:spacing w:before="40" w:after="40"/>
              <w:jc w:val="center"/>
              <w:rPr>
                <w:lang w:eastAsia="zh-CN"/>
              </w:rPr>
            </w:pPr>
            <w:r>
              <w:rPr>
                <w:lang w:eastAsia="zh-CN"/>
              </w:rPr>
              <w:t>-</w:t>
            </w:r>
          </w:p>
        </w:tc>
      </w:tr>
      <w:tr>
        <w:trPr>
          <w:jc w:val="center"/>
        </w:trPr>
        <w:tc>
          <w:tcPr>
            <w:tcW w:w="2826" w:type="dxa"/>
            <w:tcMar>
              <w:top w:w="100" w:type="dxa"/>
              <w:left w:w="115" w:type="dxa"/>
              <w:bottom w:w="100" w:type="dxa"/>
              <w:right w:w="115" w:type="dxa"/>
            </w:tcMar>
          </w:tcPr>
          <w:p>
            <w:pPr>
              <w:suppressAutoHyphens/>
              <w:spacing w:before="40" w:after="40"/>
              <w:rPr>
                <w:lang w:eastAsia="zh-CN"/>
              </w:rPr>
            </w:pPr>
            <w:r>
              <w:rPr>
                <w:lang w:eastAsia="zh-CN"/>
              </w:rPr>
              <w:t>інші</w:t>
            </w:r>
          </w:p>
        </w:tc>
        <w:tc>
          <w:tcPr>
            <w:tcW w:w="1427" w:type="dxa"/>
            <w:tcMar>
              <w:top w:w="100" w:type="dxa"/>
              <w:left w:w="115" w:type="dxa"/>
              <w:bottom w:w="100" w:type="dxa"/>
              <w:right w:w="115" w:type="dxa"/>
            </w:tcMar>
            <w:vAlign w:val="center"/>
          </w:tcPr>
          <w:p>
            <w:pPr>
              <w:suppressAutoHyphens/>
              <w:spacing w:before="40" w:after="40"/>
              <w:jc w:val="center"/>
              <w:rPr>
                <w:lang w:eastAsia="zh-CN"/>
              </w:rPr>
            </w:pPr>
            <w:r>
              <w:rPr>
                <w:lang w:eastAsia="zh-CN"/>
              </w:rPr>
              <w:t>54 788</w:t>
            </w:r>
          </w:p>
        </w:tc>
        <w:tc>
          <w:tcPr>
            <w:tcW w:w="1427" w:type="dxa"/>
            <w:tcMar>
              <w:top w:w="100" w:type="dxa"/>
              <w:left w:w="115" w:type="dxa"/>
              <w:bottom w:w="100" w:type="dxa"/>
              <w:right w:w="115" w:type="dxa"/>
            </w:tcMar>
            <w:vAlign w:val="center"/>
          </w:tcPr>
          <w:p>
            <w:pPr>
              <w:suppressAutoHyphens/>
              <w:spacing w:before="40" w:after="40"/>
              <w:jc w:val="center"/>
              <w:rPr>
                <w:lang w:eastAsia="zh-CN"/>
              </w:rPr>
            </w:pPr>
            <w:r>
              <w:rPr>
                <w:lang w:eastAsia="zh-CN"/>
              </w:rPr>
              <w:t>61 671</w:t>
            </w:r>
          </w:p>
        </w:tc>
        <w:tc>
          <w:tcPr>
            <w:tcW w:w="1427" w:type="dxa"/>
            <w:tcMar>
              <w:top w:w="100" w:type="dxa"/>
              <w:left w:w="115" w:type="dxa"/>
              <w:bottom w:w="100" w:type="dxa"/>
              <w:right w:w="115" w:type="dxa"/>
            </w:tcMar>
            <w:vAlign w:val="center"/>
          </w:tcPr>
          <w:p>
            <w:pPr>
              <w:suppressAutoHyphens/>
              <w:spacing w:before="40" w:after="40"/>
              <w:jc w:val="center"/>
              <w:rPr>
                <w:lang w:eastAsia="zh-CN"/>
              </w:rPr>
            </w:pPr>
            <w:r>
              <w:rPr>
                <w:lang w:eastAsia="zh-CN"/>
              </w:rPr>
              <w:t xml:space="preserve">76 404 </w:t>
            </w:r>
          </w:p>
        </w:tc>
        <w:tc>
          <w:tcPr>
            <w:tcW w:w="1427" w:type="dxa"/>
            <w:tcMar>
              <w:top w:w="100" w:type="dxa"/>
              <w:left w:w="115" w:type="dxa"/>
              <w:bottom w:w="100" w:type="dxa"/>
              <w:right w:w="115" w:type="dxa"/>
            </w:tcMar>
            <w:vAlign w:val="center"/>
          </w:tcPr>
          <w:p>
            <w:pPr>
              <w:suppressAutoHyphens/>
              <w:spacing w:before="40" w:after="40"/>
              <w:jc w:val="center"/>
              <w:rPr>
                <w:lang w:eastAsia="zh-CN"/>
              </w:rPr>
            </w:pPr>
            <w:r>
              <w:t>85 276</w:t>
            </w:r>
          </w:p>
        </w:tc>
        <w:tc>
          <w:tcPr>
            <w:tcW w:w="1236" w:type="dxa"/>
            <w:tcMar>
              <w:top w:w="100" w:type="dxa"/>
              <w:left w:w="115" w:type="dxa"/>
              <w:bottom w:w="100" w:type="dxa"/>
              <w:right w:w="115" w:type="dxa"/>
            </w:tcMar>
            <w:vAlign w:val="center"/>
          </w:tcPr>
          <w:p>
            <w:pPr>
              <w:suppressAutoHyphens/>
              <w:spacing w:before="40" w:after="40"/>
              <w:jc w:val="center"/>
              <w:rPr>
                <w:lang w:eastAsia="zh-CN"/>
              </w:rPr>
            </w:pPr>
            <w:r>
              <w:t>88 687</w:t>
            </w:r>
          </w:p>
        </w:tc>
      </w:tr>
      <w:tr>
        <w:trPr>
          <w:jc w:val="center"/>
        </w:trPr>
        <w:tc>
          <w:tcPr>
            <w:tcW w:w="2826" w:type="dxa"/>
            <w:tcMar>
              <w:top w:w="100" w:type="dxa"/>
              <w:left w:w="115" w:type="dxa"/>
              <w:bottom w:w="100" w:type="dxa"/>
              <w:right w:w="115" w:type="dxa"/>
            </w:tcMar>
          </w:tcPr>
          <w:p>
            <w:pPr>
              <w:suppressAutoHyphens/>
              <w:spacing w:before="40" w:after="40"/>
              <w:rPr>
                <w:b/>
                <w:lang w:eastAsia="zh-CN"/>
              </w:rPr>
            </w:pPr>
            <w:r>
              <w:rPr>
                <w:b/>
                <w:lang w:eastAsia="zh-CN"/>
              </w:rPr>
              <w:t>Неподаткові, разом, з них:</w:t>
            </w:r>
          </w:p>
        </w:tc>
        <w:tc>
          <w:tcPr>
            <w:tcW w:w="1427" w:type="dxa"/>
            <w:tcMar>
              <w:top w:w="100" w:type="dxa"/>
              <w:left w:w="115" w:type="dxa"/>
              <w:bottom w:w="100" w:type="dxa"/>
              <w:right w:w="115" w:type="dxa"/>
            </w:tcMar>
            <w:vAlign w:val="center"/>
          </w:tcPr>
          <w:p>
            <w:pPr>
              <w:suppressAutoHyphens/>
              <w:spacing w:before="40" w:after="40"/>
              <w:jc w:val="center"/>
              <w:rPr>
                <w:lang w:eastAsia="zh-CN"/>
              </w:rPr>
            </w:pPr>
            <w:r>
              <w:rPr>
                <w:lang w:eastAsia="zh-CN"/>
              </w:rPr>
              <w:t>46 986</w:t>
            </w:r>
          </w:p>
        </w:tc>
        <w:tc>
          <w:tcPr>
            <w:tcW w:w="1427" w:type="dxa"/>
            <w:tcMar>
              <w:top w:w="100" w:type="dxa"/>
              <w:left w:w="115" w:type="dxa"/>
              <w:bottom w:w="100" w:type="dxa"/>
              <w:right w:w="115" w:type="dxa"/>
            </w:tcMar>
            <w:vAlign w:val="center"/>
          </w:tcPr>
          <w:p>
            <w:pPr>
              <w:suppressAutoHyphens/>
              <w:spacing w:before="40" w:after="40"/>
              <w:jc w:val="center"/>
              <w:rPr>
                <w:lang w:eastAsia="zh-CN"/>
              </w:rPr>
            </w:pPr>
            <w:r>
              <w:rPr>
                <w:lang w:eastAsia="zh-CN"/>
              </w:rPr>
              <w:t>31  366</w:t>
            </w:r>
          </w:p>
        </w:tc>
        <w:tc>
          <w:tcPr>
            <w:tcW w:w="1427" w:type="dxa"/>
            <w:tcMar>
              <w:top w:w="100" w:type="dxa"/>
              <w:left w:w="115" w:type="dxa"/>
              <w:bottom w:w="100" w:type="dxa"/>
              <w:right w:w="115" w:type="dxa"/>
            </w:tcMar>
            <w:vAlign w:val="center"/>
          </w:tcPr>
          <w:p>
            <w:pPr>
              <w:suppressAutoHyphens/>
              <w:spacing w:before="40" w:after="40"/>
              <w:jc w:val="center"/>
              <w:rPr>
                <w:lang w:eastAsia="zh-CN"/>
              </w:rPr>
            </w:pPr>
            <w:r>
              <w:rPr>
                <w:lang w:eastAsia="zh-CN"/>
              </w:rPr>
              <w:t xml:space="preserve">36 150 </w:t>
            </w:r>
          </w:p>
        </w:tc>
        <w:tc>
          <w:tcPr>
            <w:tcW w:w="1427" w:type="dxa"/>
            <w:tcMar>
              <w:top w:w="100" w:type="dxa"/>
              <w:left w:w="115" w:type="dxa"/>
              <w:bottom w:w="100" w:type="dxa"/>
              <w:right w:w="115" w:type="dxa"/>
            </w:tcMar>
            <w:vAlign w:val="center"/>
          </w:tcPr>
          <w:p>
            <w:pPr>
              <w:suppressAutoHyphens/>
              <w:spacing w:before="40" w:after="40"/>
              <w:jc w:val="center"/>
              <w:rPr>
                <w:lang w:eastAsia="zh-CN"/>
              </w:rPr>
            </w:pPr>
            <w:r>
              <w:rPr>
                <w:bCs/>
              </w:rPr>
              <w:t>20 996</w:t>
            </w:r>
          </w:p>
        </w:tc>
        <w:tc>
          <w:tcPr>
            <w:tcW w:w="1236" w:type="dxa"/>
            <w:tcMar>
              <w:top w:w="100" w:type="dxa"/>
              <w:left w:w="115" w:type="dxa"/>
              <w:bottom w:w="100" w:type="dxa"/>
              <w:right w:w="115" w:type="dxa"/>
            </w:tcMar>
            <w:vAlign w:val="center"/>
          </w:tcPr>
          <w:p>
            <w:pPr>
              <w:suppressAutoHyphens/>
              <w:spacing w:before="40" w:after="40"/>
              <w:jc w:val="center"/>
              <w:rPr>
                <w:lang w:eastAsia="zh-CN"/>
              </w:rPr>
            </w:pPr>
            <w:r>
              <w:t>23 249</w:t>
            </w:r>
          </w:p>
        </w:tc>
      </w:tr>
      <w:tr>
        <w:trPr>
          <w:jc w:val="center"/>
        </w:trPr>
        <w:tc>
          <w:tcPr>
            <w:tcW w:w="2826" w:type="dxa"/>
            <w:tcMar>
              <w:top w:w="100" w:type="dxa"/>
              <w:left w:w="115" w:type="dxa"/>
              <w:bottom w:w="100" w:type="dxa"/>
              <w:right w:w="115" w:type="dxa"/>
            </w:tcMar>
          </w:tcPr>
          <w:p>
            <w:pPr>
              <w:suppressAutoHyphens/>
              <w:spacing w:before="40" w:after="40"/>
              <w:rPr>
                <w:lang w:eastAsia="zh-CN"/>
              </w:rPr>
            </w:pPr>
            <w:r>
              <w:rPr>
                <w:lang w:eastAsia="zh-CN"/>
              </w:rPr>
              <w:t xml:space="preserve">частина чистого прибутку/дивіденди </w:t>
            </w:r>
          </w:p>
        </w:tc>
        <w:tc>
          <w:tcPr>
            <w:tcW w:w="1427" w:type="dxa"/>
            <w:tcMar>
              <w:top w:w="100" w:type="dxa"/>
              <w:left w:w="115" w:type="dxa"/>
              <w:bottom w:w="100" w:type="dxa"/>
              <w:right w:w="115" w:type="dxa"/>
            </w:tcMar>
            <w:vAlign w:val="center"/>
          </w:tcPr>
          <w:p>
            <w:pPr>
              <w:suppressAutoHyphens/>
              <w:spacing w:before="40" w:after="40"/>
              <w:jc w:val="center"/>
              <w:rPr>
                <w:lang w:eastAsia="zh-CN"/>
              </w:rPr>
            </w:pPr>
            <w:r>
              <w:rPr>
                <w:lang w:eastAsia="zh-CN"/>
              </w:rPr>
              <w:t>46 986</w:t>
            </w:r>
          </w:p>
        </w:tc>
        <w:tc>
          <w:tcPr>
            <w:tcW w:w="1427" w:type="dxa"/>
            <w:tcMar>
              <w:top w:w="100" w:type="dxa"/>
              <w:left w:w="115" w:type="dxa"/>
              <w:bottom w:w="100" w:type="dxa"/>
              <w:right w:w="115" w:type="dxa"/>
            </w:tcMar>
            <w:vAlign w:val="center"/>
          </w:tcPr>
          <w:p>
            <w:pPr>
              <w:suppressAutoHyphens/>
              <w:spacing w:before="40" w:after="40"/>
              <w:jc w:val="center"/>
              <w:rPr>
                <w:lang w:eastAsia="zh-CN"/>
              </w:rPr>
            </w:pPr>
            <w:r>
              <w:rPr>
                <w:lang w:eastAsia="zh-CN"/>
              </w:rPr>
              <w:t>31 366</w:t>
            </w:r>
          </w:p>
        </w:tc>
        <w:tc>
          <w:tcPr>
            <w:tcW w:w="1427" w:type="dxa"/>
            <w:tcMar>
              <w:top w:w="100" w:type="dxa"/>
              <w:left w:w="115" w:type="dxa"/>
              <w:bottom w:w="100" w:type="dxa"/>
              <w:right w:w="115" w:type="dxa"/>
            </w:tcMar>
            <w:vAlign w:val="center"/>
          </w:tcPr>
          <w:p>
            <w:pPr>
              <w:suppressAutoHyphens/>
              <w:spacing w:before="40" w:after="40"/>
              <w:jc w:val="center"/>
              <w:rPr>
                <w:lang w:eastAsia="zh-CN"/>
              </w:rPr>
            </w:pPr>
            <w:r>
              <w:rPr>
                <w:lang w:eastAsia="zh-CN"/>
              </w:rPr>
              <w:t>36 150</w:t>
            </w:r>
          </w:p>
        </w:tc>
        <w:tc>
          <w:tcPr>
            <w:tcW w:w="1427" w:type="dxa"/>
            <w:tcMar>
              <w:top w:w="100" w:type="dxa"/>
              <w:left w:w="115" w:type="dxa"/>
              <w:bottom w:w="100" w:type="dxa"/>
              <w:right w:w="115" w:type="dxa"/>
            </w:tcMar>
            <w:vAlign w:val="center"/>
          </w:tcPr>
          <w:p>
            <w:pPr>
              <w:suppressAutoHyphens/>
              <w:spacing w:before="40" w:after="40"/>
              <w:jc w:val="center"/>
              <w:rPr>
                <w:lang w:eastAsia="zh-CN"/>
              </w:rPr>
            </w:pPr>
            <w:r>
              <w:t>20 996</w:t>
            </w:r>
          </w:p>
        </w:tc>
        <w:tc>
          <w:tcPr>
            <w:tcW w:w="1236" w:type="dxa"/>
            <w:tcMar>
              <w:top w:w="100" w:type="dxa"/>
              <w:left w:w="115" w:type="dxa"/>
              <w:bottom w:w="100" w:type="dxa"/>
              <w:right w:w="115" w:type="dxa"/>
            </w:tcMar>
            <w:vAlign w:val="center"/>
          </w:tcPr>
          <w:p>
            <w:pPr>
              <w:suppressAutoHyphens/>
              <w:spacing w:before="40" w:after="40"/>
              <w:jc w:val="center"/>
              <w:rPr>
                <w:lang w:eastAsia="zh-CN"/>
              </w:rPr>
            </w:pPr>
            <w:r>
              <w:t>23 249</w:t>
            </w:r>
          </w:p>
        </w:tc>
      </w:tr>
      <w:tr>
        <w:trPr>
          <w:jc w:val="center"/>
        </w:trPr>
        <w:tc>
          <w:tcPr>
            <w:tcW w:w="2826" w:type="dxa"/>
            <w:tcMar>
              <w:top w:w="100" w:type="dxa"/>
              <w:left w:w="115" w:type="dxa"/>
              <w:bottom w:w="100" w:type="dxa"/>
              <w:right w:w="115" w:type="dxa"/>
            </w:tcMar>
          </w:tcPr>
          <w:p>
            <w:pPr>
              <w:suppressAutoHyphens/>
              <w:spacing w:before="40" w:after="40"/>
              <w:rPr>
                <w:lang w:eastAsia="zh-CN"/>
              </w:rPr>
            </w:pPr>
            <w:r>
              <w:rPr>
                <w:lang w:eastAsia="zh-CN"/>
              </w:rPr>
              <w:t>інші</w:t>
            </w:r>
          </w:p>
        </w:tc>
        <w:tc>
          <w:tcPr>
            <w:tcW w:w="1427" w:type="dxa"/>
            <w:tcMar>
              <w:top w:w="100" w:type="dxa"/>
              <w:left w:w="115" w:type="dxa"/>
              <w:bottom w:w="100" w:type="dxa"/>
              <w:right w:w="115" w:type="dxa"/>
            </w:tcMar>
          </w:tcPr>
          <w:p>
            <w:pPr>
              <w:suppressAutoHyphens/>
              <w:spacing w:before="40" w:after="40"/>
              <w:jc w:val="center"/>
              <w:rPr>
                <w:lang w:eastAsia="zh-CN"/>
              </w:rPr>
            </w:pPr>
            <w:r>
              <w:rPr>
                <w:lang w:eastAsia="zh-CN"/>
              </w:rPr>
              <w:t>-</w:t>
            </w:r>
          </w:p>
        </w:tc>
        <w:tc>
          <w:tcPr>
            <w:tcW w:w="1427" w:type="dxa"/>
            <w:tcMar>
              <w:top w:w="100" w:type="dxa"/>
              <w:left w:w="115" w:type="dxa"/>
              <w:bottom w:w="100" w:type="dxa"/>
              <w:right w:w="115" w:type="dxa"/>
            </w:tcMar>
          </w:tcPr>
          <w:p>
            <w:pPr>
              <w:suppressAutoHyphens/>
              <w:spacing w:before="40" w:after="40"/>
              <w:jc w:val="center"/>
              <w:rPr>
                <w:lang w:eastAsia="zh-CN"/>
              </w:rPr>
            </w:pPr>
            <w:r>
              <w:rPr>
                <w:lang w:eastAsia="zh-CN"/>
              </w:rPr>
              <w:t>-</w:t>
            </w:r>
          </w:p>
        </w:tc>
        <w:tc>
          <w:tcPr>
            <w:tcW w:w="1427" w:type="dxa"/>
            <w:tcMar>
              <w:top w:w="100" w:type="dxa"/>
              <w:left w:w="115" w:type="dxa"/>
              <w:bottom w:w="100" w:type="dxa"/>
              <w:right w:w="115" w:type="dxa"/>
            </w:tcMar>
          </w:tcPr>
          <w:p>
            <w:pPr>
              <w:suppressAutoHyphens/>
              <w:spacing w:before="40" w:after="40"/>
              <w:jc w:val="center"/>
              <w:rPr>
                <w:lang w:eastAsia="zh-CN"/>
              </w:rPr>
            </w:pPr>
            <w:r>
              <w:rPr>
                <w:lang w:eastAsia="zh-CN"/>
              </w:rPr>
              <w:t>-</w:t>
            </w:r>
          </w:p>
        </w:tc>
        <w:tc>
          <w:tcPr>
            <w:tcW w:w="1427" w:type="dxa"/>
            <w:tcMar>
              <w:top w:w="100" w:type="dxa"/>
              <w:left w:w="115" w:type="dxa"/>
              <w:bottom w:w="100" w:type="dxa"/>
              <w:right w:w="115" w:type="dxa"/>
            </w:tcMar>
          </w:tcPr>
          <w:p>
            <w:pPr>
              <w:suppressAutoHyphens/>
              <w:spacing w:before="40" w:after="40"/>
              <w:jc w:val="center"/>
              <w:rPr>
                <w:lang w:eastAsia="zh-CN"/>
              </w:rPr>
            </w:pPr>
            <w:r>
              <w:rPr>
                <w:lang w:eastAsia="zh-CN"/>
              </w:rPr>
              <w:t>-</w:t>
            </w:r>
          </w:p>
        </w:tc>
        <w:tc>
          <w:tcPr>
            <w:tcW w:w="1236" w:type="dxa"/>
            <w:tcMar>
              <w:top w:w="100" w:type="dxa"/>
              <w:left w:w="115" w:type="dxa"/>
              <w:bottom w:w="100" w:type="dxa"/>
              <w:right w:w="115" w:type="dxa"/>
            </w:tcMar>
          </w:tcPr>
          <w:p>
            <w:pPr>
              <w:suppressAutoHyphens/>
              <w:spacing w:before="40" w:after="40"/>
              <w:jc w:val="center"/>
              <w:rPr>
                <w:lang w:eastAsia="zh-CN"/>
              </w:rPr>
            </w:pPr>
            <w:r>
              <w:rPr>
                <w:lang w:eastAsia="zh-CN"/>
              </w:rPr>
              <w:t>-</w:t>
            </w:r>
          </w:p>
        </w:tc>
      </w:tr>
      <w:tr>
        <w:trPr>
          <w:jc w:val="center"/>
        </w:trPr>
        <w:tc>
          <w:tcPr>
            <w:tcW w:w="9770" w:type="dxa"/>
            <w:gridSpan w:val="6"/>
            <w:tcMar>
              <w:top w:w="100" w:type="dxa"/>
              <w:left w:w="115" w:type="dxa"/>
              <w:bottom w:w="100" w:type="dxa"/>
              <w:right w:w="115" w:type="dxa"/>
            </w:tcMar>
          </w:tcPr>
          <w:p>
            <w:pPr>
              <w:suppressAutoHyphens/>
              <w:spacing w:before="40" w:after="40"/>
              <w:jc w:val="center"/>
              <w:rPr>
                <w:b/>
                <w:lang w:eastAsia="zh-CN"/>
              </w:rPr>
            </w:pPr>
            <w:r>
              <w:rPr>
                <w:b/>
                <w:lang w:eastAsia="zh-CN"/>
              </w:rPr>
              <w:t>ІІ. ОПЕРАЦІЙНІ ПОКАЗНИКИ</w:t>
            </w:r>
          </w:p>
        </w:tc>
      </w:tr>
      <w:tr>
        <w:trPr>
          <w:jc w:val="center"/>
        </w:trPr>
        <w:tc>
          <w:tcPr>
            <w:tcW w:w="2826" w:type="dxa"/>
            <w:tcMar>
              <w:top w:w="100" w:type="dxa"/>
              <w:left w:w="115" w:type="dxa"/>
              <w:bottom w:w="100" w:type="dxa"/>
              <w:right w:w="115" w:type="dxa"/>
            </w:tcMar>
          </w:tcPr>
          <w:p>
            <w:pPr>
              <w:suppressAutoHyphens/>
              <w:rPr>
                <w:lang w:eastAsia="zh-CN"/>
              </w:rPr>
            </w:pPr>
            <w:r>
              <w:rPr>
                <w:lang w:eastAsia="zh-CN"/>
              </w:rPr>
              <w:t xml:space="preserve">Обсяги купівлі-продажу електричної енергії на товарній біржі, тис. </w:t>
            </w:r>
            <w:proofErr w:type="spellStart"/>
            <w:r>
              <w:rPr>
                <w:lang w:eastAsia="zh-CN"/>
              </w:rPr>
              <w:t>МВт</w:t>
            </w:r>
            <w:proofErr w:type="spellEnd"/>
          </w:p>
        </w:tc>
        <w:tc>
          <w:tcPr>
            <w:tcW w:w="1427" w:type="dxa"/>
            <w:tcMar>
              <w:top w:w="100" w:type="dxa"/>
              <w:left w:w="115" w:type="dxa"/>
              <w:bottom w:w="100" w:type="dxa"/>
              <w:right w:w="115" w:type="dxa"/>
            </w:tcMar>
          </w:tcPr>
          <w:p>
            <w:pPr>
              <w:suppressAutoHyphens/>
              <w:spacing w:before="40" w:after="40"/>
              <w:jc w:val="center"/>
              <w:rPr>
                <w:lang w:eastAsia="zh-CN"/>
              </w:rPr>
            </w:pPr>
          </w:p>
          <w:p>
            <w:pPr>
              <w:suppressAutoHyphens/>
              <w:spacing w:before="40" w:after="40"/>
              <w:jc w:val="center"/>
              <w:rPr>
                <w:lang w:eastAsia="zh-CN"/>
              </w:rPr>
            </w:pPr>
            <w:r>
              <w:rPr>
                <w:lang w:eastAsia="zh-CN"/>
              </w:rPr>
              <w:t>-</w:t>
            </w:r>
          </w:p>
        </w:tc>
        <w:tc>
          <w:tcPr>
            <w:tcW w:w="1427" w:type="dxa"/>
            <w:tcMar>
              <w:top w:w="100" w:type="dxa"/>
              <w:left w:w="115" w:type="dxa"/>
              <w:bottom w:w="100" w:type="dxa"/>
              <w:right w:w="115" w:type="dxa"/>
            </w:tcMar>
          </w:tcPr>
          <w:p>
            <w:pPr>
              <w:suppressAutoHyphens/>
              <w:spacing w:before="40" w:after="40"/>
              <w:jc w:val="center"/>
              <w:rPr>
                <w:lang w:eastAsia="zh-CN"/>
              </w:rPr>
            </w:pPr>
          </w:p>
          <w:p>
            <w:pPr>
              <w:suppressAutoHyphens/>
              <w:spacing w:before="40" w:after="40"/>
              <w:jc w:val="center"/>
              <w:rPr>
                <w:lang w:eastAsia="zh-CN"/>
              </w:rPr>
            </w:pPr>
            <w:r>
              <w:rPr>
                <w:lang w:eastAsia="zh-CN"/>
              </w:rPr>
              <w:t>-</w:t>
            </w:r>
          </w:p>
        </w:tc>
        <w:tc>
          <w:tcPr>
            <w:tcW w:w="1427" w:type="dxa"/>
            <w:tcMar>
              <w:top w:w="100" w:type="dxa"/>
              <w:left w:w="115" w:type="dxa"/>
              <w:bottom w:w="100" w:type="dxa"/>
              <w:right w:w="115" w:type="dxa"/>
            </w:tcMar>
            <w:vAlign w:val="center"/>
          </w:tcPr>
          <w:p>
            <w:pPr>
              <w:suppressAutoHyphens/>
              <w:spacing w:before="40" w:after="40"/>
              <w:jc w:val="center"/>
              <w:rPr>
                <w:lang w:eastAsia="zh-CN"/>
              </w:rPr>
            </w:pPr>
            <w:r>
              <w:rPr>
                <w:lang w:eastAsia="zh-CN"/>
              </w:rPr>
              <w:t>-</w:t>
            </w:r>
          </w:p>
        </w:tc>
        <w:tc>
          <w:tcPr>
            <w:tcW w:w="1427" w:type="dxa"/>
            <w:tcMar>
              <w:top w:w="100" w:type="dxa"/>
              <w:left w:w="115" w:type="dxa"/>
              <w:bottom w:w="100" w:type="dxa"/>
              <w:right w:w="115" w:type="dxa"/>
            </w:tcMar>
            <w:vAlign w:val="center"/>
          </w:tcPr>
          <w:p>
            <w:pPr>
              <w:suppressAutoHyphens/>
              <w:spacing w:before="40" w:after="40"/>
              <w:jc w:val="center"/>
              <w:rPr>
                <w:lang w:eastAsia="zh-CN"/>
              </w:rPr>
            </w:pPr>
            <w:r>
              <w:rPr>
                <w:lang w:eastAsia="zh-CN"/>
              </w:rPr>
              <w:t>150</w:t>
            </w:r>
          </w:p>
        </w:tc>
        <w:tc>
          <w:tcPr>
            <w:tcW w:w="1236" w:type="dxa"/>
            <w:tcMar>
              <w:top w:w="100" w:type="dxa"/>
              <w:left w:w="115" w:type="dxa"/>
              <w:bottom w:w="100" w:type="dxa"/>
              <w:right w:w="115" w:type="dxa"/>
            </w:tcMar>
            <w:vAlign w:val="center"/>
          </w:tcPr>
          <w:p>
            <w:pPr>
              <w:suppressAutoHyphens/>
              <w:spacing w:before="40" w:after="40"/>
              <w:jc w:val="center"/>
              <w:rPr>
                <w:lang w:eastAsia="zh-CN"/>
              </w:rPr>
            </w:pPr>
            <w:r>
              <w:rPr>
                <w:lang w:eastAsia="zh-CN"/>
              </w:rPr>
              <w:t>1500</w:t>
            </w:r>
          </w:p>
        </w:tc>
      </w:tr>
      <w:tr>
        <w:trPr>
          <w:jc w:val="center"/>
        </w:trPr>
        <w:tc>
          <w:tcPr>
            <w:tcW w:w="2826" w:type="dxa"/>
            <w:tcMar>
              <w:top w:w="100" w:type="dxa"/>
              <w:left w:w="115" w:type="dxa"/>
              <w:bottom w:w="100" w:type="dxa"/>
              <w:right w:w="115" w:type="dxa"/>
            </w:tcMar>
          </w:tcPr>
          <w:p>
            <w:pPr>
              <w:suppressAutoHyphens/>
              <w:spacing w:before="40" w:after="40"/>
              <w:rPr>
                <w:lang w:eastAsia="zh-CN"/>
              </w:rPr>
            </w:pPr>
            <w:r>
              <w:rPr>
                <w:lang w:eastAsia="zh-CN"/>
              </w:rPr>
              <w:t>Кількість  учасників товарної  біржі (ДД), шт.</w:t>
            </w:r>
          </w:p>
        </w:tc>
        <w:tc>
          <w:tcPr>
            <w:tcW w:w="1427" w:type="dxa"/>
            <w:tcMar>
              <w:top w:w="100" w:type="dxa"/>
              <w:left w:w="115" w:type="dxa"/>
              <w:bottom w:w="100" w:type="dxa"/>
              <w:right w:w="115" w:type="dxa"/>
            </w:tcMar>
          </w:tcPr>
          <w:p>
            <w:pPr>
              <w:suppressAutoHyphens/>
              <w:spacing w:before="40" w:after="40"/>
              <w:jc w:val="center"/>
              <w:rPr>
                <w:lang w:eastAsia="zh-CN"/>
              </w:rPr>
            </w:pPr>
            <w:r>
              <w:rPr>
                <w:lang w:eastAsia="zh-CN"/>
              </w:rPr>
              <w:t>-</w:t>
            </w:r>
          </w:p>
        </w:tc>
        <w:tc>
          <w:tcPr>
            <w:tcW w:w="1427" w:type="dxa"/>
            <w:tcMar>
              <w:top w:w="100" w:type="dxa"/>
              <w:left w:w="115" w:type="dxa"/>
              <w:bottom w:w="100" w:type="dxa"/>
              <w:right w:w="115" w:type="dxa"/>
            </w:tcMar>
          </w:tcPr>
          <w:p>
            <w:pPr>
              <w:suppressAutoHyphens/>
              <w:spacing w:before="40" w:after="40"/>
              <w:jc w:val="center"/>
              <w:rPr>
                <w:lang w:eastAsia="zh-CN"/>
              </w:rPr>
            </w:pPr>
            <w:r>
              <w:rPr>
                <w:lang w:eastAsia="zh-CN"/>
              </w:rPr>
              <w:t>-</w:t>
            </w:r>
          </w:p>
        </w:tc>
        <w:tc>
          <w:tcPr>
            <w:tcW w:w="1427" w:type="dxa"/>
            <w:tcMar>
              <w:top w:w="100" w:type="dxa"/>
              <w:left w:w="115" w:type="dxa"/>
              <w:bottom w:w="100" w:type="dxa"/>
              <w:right w:w="115" w:type="dxa"/>
            </w:tcMar>
            <w:vAlign w:val="center"/>
          </w:tcPr>
          <w:p>
            <w:pPr>
              <w:suppressAutoHyphens/>
              <w:spacing w:before="40" w:after="40"/>
              <w:jc w:val="center"/>
              <w:rPr>
                <w:lang w:eastAsia="zh-CN"/>
              </w:rPr>
            </w:pPr>
            <w:r>
              <w:rPr>
                <w:lang w:eastAsia="zh-CN"/>
              </w:rPr>
              <w:t>-</w:t>
            </w:r>
          </w:p>
        </w:tc>
        <w:tc>
          <w:tcPr>
            <w:tcW w:w="1427" w:type="dxa"/>
            <w:tcMar>
              <w:top w:w="100" w:type="dxa"/>
              <w:left w:w="115" w:type="dxa"/>
              <w:bottom w:w="100" w:type="dxa"/>
              <w:right w:w="115" w:type="dxa"/>
            </w:tcMar>
            <w:vAlign w:val="center"/>
          </w:tcPr>
          <w:p>
            <w:pPr>
              <w:suppressAutoHyphens/>
              <w:spacing w:before="40" w:after="40"/>
              <w:jc w:val="center"/>
              <w:rPr>
                <w:lang w:eastAsia="zh-CN"/>
              </w:rPr>
            </w:pPr>
            <w:r>
              <w:rPr>
                <w:lang w:eastAsia="zh-CN"/>
              </w:rPr>
              <w:t>100</w:t>
            </w:r>
          </w:p>
        </w:tc>
        <w:tc>
          <w:tcPr>
            <w:tcW w:w="1236" w:type="dxa"/>
            <w:tcMar>
              <w:top w:w="100" w:type="dxa"/>
              <w:left w:w="115" w:type="dxa"/>
              <w:bottom w:w="100" w:type="dxa"/>
              <w:right w:w="115" w:type="dxa"/>
            </w:tcMar>
            <w:vAlign w:val="center"/>
          </w:tcPr>
          <w:p>
            <w:pPr>
              <w:suppressAutoHyphens/>
              <w:spacing w:before="40" w:after="40"/>
              <w:jc w:val="center"/>
              <w:rPr>
                <w:lang w:eastAsia="zh-CN"/>
              </w:rPr>
            </w:pPr>
            <w:r>
              <w:rPr>
                <w:lang w:eastAsia="zh-CN"/>
              </w:rPr>
              <w:t>110</w:t>
            </w:r>
          </w:p>
        </w:tc>
      </w:tr>
      <w:tr>
        <w:trPr>
          <w:jc w:val="center"/>
        </w:trPr>
        <w:tc>
          <w:tcPr>
            <w:tcW w:w="2826" w:type="dxa"/>
            <w:tcMar>
              <w:top w:w="100" w:type="dxa"/>
              <w:left w:w="115" w:type="dxa"/>
              <w:bottom w:w="100" w:type="dxa"/>
              <w:right w:w="115" w:type="dxa"/>
            </w:tcMar>
          </w:tcPr>
          <w:p>
            <w:pPr>
              <w:suppressAutoHyphens/>
              <w:spacing w:before="40" w:after="40"/>
              <w:rPr>
                <w:lang w:eastAsia="zh-CN"/>
              </w:rPr>
            </w:pPr>
            <w:r>
              <w:rPr>
                <w:lang w:eastAsia="zh-CN"/>
              </w:rPr>
              <w:t xml:space="preserve">Здійснення капітальних інвестицій, що передбачені </w:t>
            </w:r>
            <w:r>
              <w:rPr>
                <w:lang w:eastAsia="zh-CN"/>
              </w:rPr>
              <w:lastRenderedPageBreak/>
              <w:t>інвестиційним планом Товариства (2022 – 2026 роки) та заплановані на 2027 рік  (тис. грн)</w:t>
            </w:r>
          </w:p>
        </w:tc>
        <w:tc>
          <w:tcPr>
            <w:tcW w:w="1427" w:type="dxa"/>
            <w:tcMar>
              <w:top w:w="100" w:type="dxa"/>
              <w:left w:w="115" w:type="dxa"/>
              <w:bottom w:w="100" w:type="dxa"/>
              <w:right w:w="115" w:type="dxa"/>
            </w:tcMar>
          </w:tcPr>
          <w:p>
            <w:pPr>
              <w:spacing w:before="40" w:after="40"/>
              <w:rPr>
                <w:lang w:eastAsia="zh-CN"/>
              </w:rPr>
            </w:pPr>
          </w:p>
          <w:p>
            <w:pPr>
              <w:suppressAutoHyphens/>
              <w:spacing w:before="40" w:after="40"/>
              <w:jc w:val="center"/>
              <w:rPr>
                <w:lang w:eastAsia="zh-CN"/>
              </w:rPr>
            </w:pPr>
            <w:r>
              <w:rPr>
                <w:lang w:eastAsia="zh-CN"/>
              </w:rPr>
              <w:t>20 990,0</w:t>
            </w:r>
          </w:p>
        </w:tc>
        <w:tc>
          <w:tcPr>
            <w:tcW w:w="1427" w:type="dxa"/>
            <w:tcMar>
              <w:top w:w="100" w:type="dxa"/>
              <w:left w:w="115" w:type="dxa"/>
              <w:bottom w:w="100" w:type="dxa"/>
              <w:right w:w="115" w:type="dxa"/>
            </w:tcMar>
          </w:tcPr>
          <w:p>
            <w:pPr>
              <w:spacing w:before="40" w:after="40"/>
              <w:rPr>
                <w:lang w:eastAsia="zh-CN"/>
              </w:rPr>
            </w:pPr>
          </w:p>
          <w:p>
            <w:pPr>
              <w:suppressAutoHyphens/>
              <w:spacing w:before="40" w:after="40"/>
              <w:jc w:val="center"/>
              <w:rPr>
                <w:lang w:eastAsia="zh-CN"/>
              </w:rPr>
            </w:pPr>
            <w:r>
              <w:rPr>
                <w:lang w:eastAsia="zh-CN"/>
              </w:rPr>
              <w:t>39 484,3</w:t>
            </w:r>
          </w:p>
          <w:p>
            <w:pPr>
              <w:suppressAutoHyphens/>
              <w:spacing w:before="40" w:after="40"/>
              <w:jc w:val="center"/>
              <w:rPr>
                <w:lang w:eastAsia="zh-CN"/>
              </w:rPr>
            </w:pPr>
          </w:p>
        </w:tc>
        <w:tc>
          <w:tcPr>
            <w:tcW w:w="1427" w:type="dxa"/>
            <w:tcMar>
              <w:top w:w="100" w:type="dxa"/>
              <w:left w:w="115" w:type="dxa"/>
              <w:bottom w:w="100" w:type="dxa"/>
              <w:right w:w="115" w:type="dxa"/>
            </w:tcMar>
            <w:vAlign w:val="center"/>
          </w:tcPr>
          <w:p>
            <w:pPr>
              <w:suppressAutoHyphens/>
              <w:spacing w:before="40" w:after="40"/>
              <w:jc w:val="center"/>
              <w:rPr>
                <w:lang w:eastAsia="zh-CN"/>
              </w:rPr>
            </w:pPr>
            <w:r>
              <w:rPr>
                <w:lang w:eastAsia="zh-CN"/>
              </w:rPr>
              <w:t>39 030,5</w:t>
            </w:r>
          </w:p>
        </w:tc>
        <w:tc>
          <w:tcPr>
            <w:tcW w:w="1427" w:type="dxa"/>
            <w:tcMar>
              <w:top w:w="100" w:type="dxa"/>
              <w:left w:w="115" w:type="dxa"/>
              <w:bottom w:w="100" w:type="dxa"/>
              <w:right w:w="115" w:type="dxa"/>
            </w:tcMar>
            <w:vAlign w:val="center"/>
          </w:tcPr>
          <w:p>
            <w:pPr>
              <w:suppressAutoHyphens/>
              <w:spacing w:before="40" w:after="40"/>
              <w:jc w:val="center"/>
              <w:rPr>
                <w:lang w:eastAsia="zh-CN"/>
              </w:rPr>
            </w:pPr>
            <w:r>
              <w:rPr>
                <w:lang w:eastAsia="zh-CN"/>
              </w:rPr>
              <w:t>35 780,4</w:t>
            </w:r>
          </w:p>
        </w:tc>
        <w:tc>
          <w:tcPr>
            <w:tcW w:w="1236" w:type="dxa"/>
            <w:tcMar>
              <w:top w:w="100" w:type="dxa"/>
              <w:left w:w="115" w:type="dxa"/>
              <w:bottom w:w="100" w:type="dxa"/>
              <w:right w:w="115" w:type="dxa"/>
            </w:tcMar>
            <w:vAlign w:val="center"/>
          </w:tcPr>
          <w:p>
            <w:pPr>
              <w:suppressAutoHyphens/>
              <w:spacing w:before="40" w:after="40"/>
              <w:jc w:val="center"/>
              <w:rPr>
                <w:lang w:eastAsia="zh-CN"/>
              </w:rPr>
            </w:pPr>
            <w:r>
              <w:rPr>
                <w:lang w:eastAsia="zh-CN"/>
              </w:rPr>
              <w:t>35 266</w:t>
            </w:r>
          </w:p>
        </w:tc>
      </w:tr>
      <w:tr>
        <w:trPr>
          <w:jc w:val="center"/>
        </w:trPr>
        <w:tc>
          <w:tcPr>
            <w:tcW w:w="2826" w:type="dxa"/>
            <w:tcMar>
              <w:top w:w="100" w:type="dxa"/>
              <w:left w:w="115" w:type="dxa"/>
              <w:bottom w:w="100" w:type="dxa"/>
              <w:right w:w="115" w:type="dxa"/>
            </w:tcMar>
          </w:tcPr>
          <w:p>
            <w:pPr>
              <w:jc w:val="both"/>
            </w:pPr>
            <w:r>
              <w:t>Кількість учасників, яким будуть надаватися інформаційно-консультативні  послуги (надання доступу до аналітичної інформації)</w:t>
            </w:r>
          </w:p>
        </w:tc>
        <w:tc>
          <w:tcPr>
            <w:tcW w:w="1427" w:type="dxa"/>
            <w:tcMar>
              <w:top w:w="100" w:type="dxa"/>
              <w:left w:w="115" w:type="dxa"/>
              <w:bottom w:w="100" w:type="dxa"/>
              <w:right w:w="115" w:type="dxa"/>
            </w:tcMar>
          </w:tcPr>
          <w:p>
            <w:pPr>
              <w:suppressAutoHyphens/>
              <w:spacing w:before="40" w:after="40"/>
              <w:jc w:val="center"/>
              <w:rPr>
                <w:lang w:eastAsia="zh-CN"/>
              </w:rPr>
            </w:pPr>
            <w:r>
              <w:rPr>
                <w:lang w:eastAsia="zh-CN"/>
              </w:rPr>
              <w:t>7</w:t>
            </w:r>
          </w:p>
        </w:tc>
        <w:tc>
          <w:tcPr>
            <w:tcW w:w="1427" w:type="dxa"/>
            <w:tcMar>
              <w:top w:w="100" w:type="dxa"/>
              <w:left w:w="115" w:type="dxa"/>
              <w:bottom w:w="100" w:type="dxa"/>
              <w:right w:w="115" w:type="dxa"/>
            </w:tcMar>
          </w:tcPr>
          <w:p>
            <w:pPr>
              <w:suppressAutoHyphens/>
              <w:spacing w:before="40" w:after="40"/>
              <w:jc w:val="center"/>
              <w:rPr>
                <w:lang w:eastAsia="zh-CN"/>
              </w:rPr>
            </w:pPr>
            <w:r>
              <w:rPr>
                <w:lang w:eastAsia="zh-CN"/>
              </w:rPr>
              <w:t>8</w:t>
            </w:r>
          </w:p>
        </w:tc>
        <w:tc>
          <w:tcPr>
            <w:tcW w:w="1427" w:type="dxa"/>
            <w:tcMar>
              <w:top w:w="100" w:type="dxa"/>
              <w:left w:w="115" w:type="dxa"/>
              <w:bottom w:w="100" w:type="dxa"/>
              <w:right w:w="115" w:type="dxa"/>
            </w:tcMar>
          </w:tcPr>
          <w:p>
            <w:pPr>
              <w:suppressAutoHyphens/>
              <w:spacing w:before="40" w:after="40"/>
              <w:jc w:val="center"/>
              <w:rPr>
                <w:lang w:eastAsia="zh-CN"/>
              </w:rPr>
            </w:pPr>
            <w:r>
              <w:rPr>
                <w:lang w:eastAsia="zh-CN"/>
              </w:rPr>
              <w:t>6</w:t>
            </w:r>
          </w:p>
        </w:tc>
        <w:tc>
          <w:tcPr>
            <w:tcW w:w="1427" w:type="dxa"/>
            <w:tcMar>
              <w:top w:w="100" w:type="dxa"/>
              <w:left w:w="115" w:type="dxa"/>
              <w:bottom w:w="100" w:type="dxa"/>
              <w:right w:w="115" w:type="dxa"/>
            </w:tcMar>
          </w:tcPr>
          <w:p>
            <w:pPr>
              <w:suppressAutoHyphens/>
              <w:spacing w:before="40" w:after="40"/>
              <w:jc w:val="center"/>
              <w:rPr>
                <w:lang w:eastAsia="zh-CN"/>
              </w:rPr>
            </w:pPr>
            <w:r>
              <w:rPr>
                <w:lang w:eastAsia="zh-CN"/>
              </w:rPr>
              <w:t>7</w:t>
            </w:r>
          </w:p>
        </w:tc>
        <w:tc>
          <w:tcPr>
            <w:tcW w:w="1236" w:type="dxa"/>
            <w:tcMar>
              <w:top w:w="100" w:type="dxa"/>
              <w:left w:w="115" w:type="dxa"/>
              <w:bottom w:w="100" w:type="dxa"/>
              <w:right w:w="115" w:type="dxa"/>
            </w:tcMar>
          </w:tcPr>
          <w:p>
            <w:pPr>
              <w:suppressAutoHyphens/>
              <w:spacing w:before="40" w:after="40"/>
              <w:jc w:val="center"/>
              <w:rPr>
                <w:lang w:eastAsia="zh-CN"/>
              </w:rPr>
            </w:pPr>
            <w:r>
              <w:rPr>
                <w:lang w:eastAsia="zh-CN"/>
              </w:rPr>
              <w:t>8</w:t>
            </w:r>
          </w:p>
        </w:tc>
      </w:tr>
      <w:tr>
        <w:trPr>
          <w:jc w:val="center"/>
        </w:trPr>
        <w:tc>
          <w:tcPr>
            <w:tcW w:w="2826" w:type="dxa"/>
            <w:tcMar>
              <w:top w:w="100" w:type="dxa"/>
              <w:left w:w="115" w:type="dxa"/>
              <w:bottom w:w="100" w:type="dxa"/>
              <w:right w:w="115" w:type="dxa"/>
            </w:tcMar>
          </w:tcPr>
          <w:p>
            <w:pPr>
              <w:jc w:val="both"/>
            </w:pPr>
            <w:r>
              <w:t>Кількість учасників, яким будуть надаватися інформаційно-консультативні  послуги (проведення консультацій)</w:t>
            </w:r>
          </w:p>
        </w:tc>
        <w:tc>
          <w:tcPr>
            <w:tcW w:w="1427" w:type="dxa"/>
            <w:tcMar>
              <w:top w:w="100" w:type="dxa"/>
              <w:left w:w="115" w:type="dxa"/>
              <w:bottom w:w="100" w:type="dxa"/>
              <w:right w:w="115" w:type="dxa"/>
            </w:tcMar>
          </w:tcPr>
          <w:p>
            <w:pPr>
              <w:suppressAutoHyphens/>
              <w:spacing w:before="40" w:after="40"/>
              <w:jc w:val="center"/>
              <w:rPr>
                <w:lang w:eastAsia="zh-CN"/>
              </w:rPr>
            </w:pPr>
            <w:r>
              <w:rPr>
                <w:lang w:eastAsia="zh-CN"/>
              </w:rPr>
              <w:t>-</w:t>
            </w:r>
          </w:p>
        </w:tc>
        <w:tc>
          <w:tcPr>
            <w:tcW w:w="1427" w:type="dxa"/>
            <w:tcMar>
              <w:top w:w="100" w:type="dxa"/>
              <w:left w:w="115" w:type="dxa"/>
              <w:bottom w:w="100" w:type="dxa"/>
              <w:right w:w="115" w:type="dxa"/>
            </w:tcMar>
          </w:tcPr>
          <w:p>
            <w:pPr>
              <w:suppressAutoHyphens/>
              <w:spacing w:before="40" w:after="40"/>
              <w:jc w:val="center"/>
              <w:rPr>
                <w:lang w:eastAsia="zh-CN"/>
              </w:rPr>
            </w:pPr>
            <w:r>
              <w:rPr>
                <w:lang w:eastAsia="zh-CN"/>
              </w:rPr>
              <w:t>81</w:t>
            </w:r>
          </w:p>
        </w:tc>
        <w:tc>
          <w:tcPr>
            <w:tcW w:w="1427" w:type="dxa"/>
            <w:tcMar>
              <w:top w:w="100" w:type="dxa"/>
              <w:left w:w="115" w:type="dxa"/>
              <w:bottom w:w="100" w:type="dxa"/>
              <w:right w:w="115" w:type="dxa"/>
            </w:tcMar>
          </w:tcPr>
          <w:p>
            <w:pPr>
              <w:suppressAutoHyphens/>
              <w:spacing w:before="40" w:after="40"/>
              <w:jc w:val="center"/>
              <w:rPr>
                <w:lang w:eastAsia="zh-CN"/>
              </w:rPr>
            </w:pPr>
            <w:r>
              <w:rPr>
                <w:lang w:eastAsia="zh-CN"/>
              </w:rPr>
              <w:t>85</w:t>
            </w:r>
          </w:p>
        </w:tc>
        <w:tc>
          <w:tcPr>
            <w:tcW w:w="1427" w:type="dxa"/>
            <w:tcMar>
              <w:top w:w="100" w:type="dxa"/>
              <w:left w:w="115" w:type="dxa"/>
              <w:bottom w:w="100" w:type="dxa"/>
              <w:right w:w="115" w:type="dxa"/>
            </w:tcMar>
          </w:tcPr>
          <w:p>
            <w:pPr>
              <w:suppressAutoHyphens/>
              <w:spacing w:before="40" w:after="40"/>
              <w:jc w:val="center"/>
              <w:rPr>
                <w:lang w:eastAsia="zh-CN"/>
              </w:rPr>
            </w:pPr>
            <w:r>
              <w:rPr>
                <w:lang w:eastAsia="zh-CN"/>
              </w:rPr>
              <w:t>90</w:t>
            </w:r>
          </w:p>
        </w:tc>
        <w:tc>
          <w:tcPr>
            <w:tcW w:w="1236" w:type="dxa"/>
            <w:tcMar>
              <w:top w:w="100" w:type="dxa"/>
              <w:left w:w="115" w:type="dxa"/>
              <w:bottom w:w="100" w:type="dxa"/>
              <w:right w:w="115" w:type="dxa"/>
            </w:tcMar>
          </w:tcPr>
          <w:p>
            <w:pPr>
              <w:suppressAutoHyphens/>
              <w:spacing w:before="40" w:after="40"/>
              <w:jc w:val="center"/>
              <w:rPr>
                <w:lang w:eastAsia="zh-CN"/>
              </w:rPr>
            </w:pPr>
            <w:r>
              <w:rPr>
                <w:lang w:eastAsia="zh-CN"/>
              </w:rPr>
              <w:t>93</w:t>
            </w:r>
          </w:p>
        </w:tc>
      </w:tr>
      <w:tr>
        <w:trPr>
          <w:jc w:val="center"/>
        </w:trPr>
        <w:tc>
          <w:tcPr>
            <w:tcW w:w="9770" w:type="dxa"/>
            <w:gridSpan w:val="6"/>
            <w:tcMar>
              <w:top w:w="100" w:type="dxa"/>
              <w:left w:w="115" w:type="dxa"/>
              <w:bottom w:w="100" w:type="dxa"/>
              <w:right w:w="115" w:type="dxa"/>
            </w:tcMar>
          </w:tcPr>
          <w:p>
            <w:pPr>
              <w:suppressAutoHyphens/>
              <w:spacing w:before="40" w:after="40"/>
              <w:jc w:val="center"/>
              <w:rPr>
                <w:b/>
                <w:lang w:eastAsia="zh-CN"/>
              </w:rPr>
            </w:pPr>
            <w:r>
              <w:rPr>
                <w:b/>
                <w:lang w:eastAsia="zh-CN"/>
              </w:rPr>
              <w:t>ІІІ. НЕФІНАНСОВІ ПОКАЗНИКИ</w:t>
            </w:r>
          </w:p>
        </w:tc>
      </w:tr>
      <w:tr>
        <w:trPr>
          <w:jc w:val="center"/>
        </w:trPr>
        <w:tc>
          <w:tcPr>
            <w:tcW w:w="2826" w:type="dxa"/>
            <w:tcMar>
              <w:top w:w="100" w:type="dxa"/>
              <w:left w:w="115" w:type="dxa"/>
              <w:bottom w:w="100" w:type="dxa"/>
              <w:right w:w="115" w:type="dxa"/>
            </w:tcMar>
          </w:tcPr>
          <w:p>
            <w:pPr>
              <w:suppressAutoHyphens/>
              <w:spacing w:before="40" w:after="40"/>
              <w:jc w:val="both"/>
            </w:pPr>
            <w:r>
              <w:t>Приведення внутрішніх положень АТ «Оператор ринку» у відповідність до вимог законодавства України з урахуванням останніх законодавчих змін, %</w:t>
            </w:r>
          </w:p>
        </w:tc>
        <w:tc>
          <w:tcPr>
            <w:tcW w:w="1427" w:type="dxa"/>
            <w:tcMar>
              <w:top w:w="100" w:type="dxa"/>
              <w:left w:w="115" w:type="dxa"/>
              <w:bottom w:w="100" w:type="dxa"/>
              <w:right w:w="115" w:type="dxa"/>
            </w:tcMar>
          </w:tcPr>
          <w:p>
            <w:pPr>
              <w:suppressAutoHyphens/>
              <w:spacing w:before="40" w:after="40"/>
              <w:jc w:val="center"/>
              <w:rPr>
                <w:lang w:eastAsia="zh-CN"/>
              </w:rPr>
            </w:pPr>
            <w:r>
              <w:rPr>
                <w:lang w:eastAsia="zh-CN"/>
              </w:rPr>
              <w:t>-</w:t>
            </w:r>
          </w:p>
        </w:tc>
        <w:tc>
          <w:tcPr>
            <w:tcW w:w="1427" w:type="dxa"/>
            <w:tcMar>
              <w:top w:w="100" w:type="dxa"/>
              <w:left w:w="115" w:type="dxa"/>
              <w:bottom w:w="100" w:type="dxa"/>
              <w:right w:w="115" w:type="dxa"/>
            </w:tcMar>
          </w:tcPr>
          <w:p>
            <w:pPr>
              <w:suppressAutoHyphens/>
              <w:spacing w:before="40" w:after="40"/>
              <w:jc w:val="center"/>
              <w:rPr>
                <w:lang w:eastAsia="zh-CN"/>
              </w:rPr>
            </w:pPr>
            <w:r>
              <w:rPr>
                <w:lang w:eastAsia="zh-CN"/>
              </w:rPr>
              <w:t>-</w:t>
            </w:r>
          </w:p>
        </w:tc>
        <w:tc>
          <w:tcPr>
            <w:tcW w:w="1427" w:type="dxa"/>
            <w:tcMar>
              <w:top w:w="100" w:type="dxa"/>
              <w:left w:w="115" w:type="dxa"/>
              <w:bottom w:w="100" w:type="dxa"/>
              <w:right w:w="115" w:type="dxa"/>
            </w:tcMar>
          </w:tcPr>
          <w:p>
            <w:pPr>
              <w:suppressAutoHyphens/>
              <w:spacing w:before="40" w:after="40"/>
              <w:jc w:val="center"/>
              <w:rPr>
                <w:lang w:eastAsia="zh-CN"/>
              </w:rPr>
            </w:pPr>
            <w:r>
              <w:rPr>
                <w:lang w:eastAsia="zh-CN"/>
              </w:rPr>
              <w:t>100</w:t>
            </w:r>
          </w:p>
        </w:tc>
        <w:tc>
          <w:tcPr>
            <w:tcW w:w="1427" w:type="dxa"/>
            <w:tcMar>
              <w:top w:w="100" w:type="dxa"/>
              <w:left w:w="115" w:type="dxa"/>
              <w:bottom w:w="100" w:type="dxa"/>
              <w:right w:w="115" w:type="dxa"/>
            </w:tcMar>
          </w:tcPr>
          <w:p>
            <w:pPr>
              <w:suppressAutoHyphens/>
              <w:spacing w:before="40" w:after="40"/>
              <w:jc w:val="center"/>
              <w:rPr>
                <w:lang w:eastAsia="zh-CN"/>
              </w:rPr>
            </w:pPr>
            <w:r>
              <w:rPr>
                <w:lang w:eastAsia="zh-CN"/>
              </w:rPr>
              <w:t>-</w:t>
            </w:r>
          </w:p>
        </w:tc>
        <w:tc>
          <w:tcPr>
            <w:tcW w:w="1236" w:type="dxa"/>
            <w:tcMar>
              <w:top w:w="100" w:type="dxa"/>
              <w:left w:w="115" w:type="dxa"/>
              <w:bottom w:w="100" w:type="dxa"/>
              <w:right w:w="115" w:type="dxa"/>
            </w:tcMar>
          </w:tcPr>
          <w:p>
            <w:pPr>
              <w:suppressAutoHyphens/>
              <w:spacing w:before="40" w:after="40"/>
              <w:jc w:val="center"/>
              <w:rPr>
                <w:lang w:eastAsia="zh-CN"/>
              </w:rPr>
            </w:pPr>
            <w:r>
              <w:rPr>
                <w:lang w:eastAsia="zh-CN"/>
              </w:rPr>
              <w:t>-</w:t>
            </w:r>
          </w:p>
        </w:tc>
      </w:tr>
      <w:tr>
        <w:trPr>
          <w:jc w:val="center"/>
        </w:trPr>
        <w:tc>
          <w:tcPr>
            <w:tcW w:w="2826" w:type="dxa"/>
            <w:tcMar>
              <w:top w:w="100" w:type="dxa"/>
              <w:left w:w="115" w:type="dxa"/>
              <w:bottom w:w="100" w:type="dxa"/>
              <w:right w:w="115" w:type="dxa"/>
            </w:tcMar>
          </w:tcPr>
          <w:p>
            <w:pPr>
              <w:suppressAutoHyphens/>
              <w:spacing w:before="40" w:after="40"/>
              <w:jc w:val="both"/>
            </w:pPr>
            <w:r>
              <w:t>Призначення внутрішнього аудитора</w:t>
            </w:r>
          </w:p>
        </w:tc>
        <w:tc>
          <w:tcPr>
            <w:tcW w:w="1427" w:type="dxa"/>
            <w:tcMar>
              <w:top w:w="100" w:type="dxa"/>
              <w:left w:w="115" w:type="dxa"/>
              <w:bottom w:w="100" w:type="dxa"/>
              <w:right w:w="115" w:type="dxa"/>
            </w:tcMar>
          </w:tcPr>
          <w:p>
            <w:pPr>
              <w:suppressAutoHyphens/>
              <w:spacing w:before="40" w:after="40"/>
              <w:jc w:val="center"/>
              <w:rPr>
                <w:lang w:eastAsia="zh-CN"/>
              </w:rPr>
            </w:pPr>
            <w:r>
              <w:rPr>
                <w:lang w:eastAsia="zh-CN"/>
              </w:rPr>
              <w:t>-</w:t>
            </w:r>
          </w:p>
        </w:tc>
        <w:tc>
          <w:tcPr>
            <w:tcW w:w="1427" w:type="dxa"/>
            <w:tcMar>
              <w:top w:w="100" w:type="dxa"/>
              <w:left w:w="115" w:type="dxa"/>
              <w:bottom w:w="100" w:type="dxa"/>
              <w:right w:w="115" w:type="dxa"/>
            </w:tcMar>
          </w:tcPr>
          <w:p>
            <w:pPr>
              <w:suppressAutoHyphens/>
              <w:spacing w:before="40" w:after="40"/>
              <w:jc w:val="center"/>
              <w:rPr>
                <w:lang w:eastAsia="zh-CN"/>
              </w:rPr>
            </w:pPr>
            <w:r>
              <w:rPr>
                <w:lang w:eastAsia="zh-CN"/>
              </w:rPr>
              <w:t>-</w:t>
            </w:r>
          </w:p>
        </w:tc>
        <w:tc>
          <w:tcPr>
            <w:tcW w:w="1427" w:type="dxa"/>
            <w:tcMar>
              <w:top w:w="100" w:type="dxa"/>
              <w:left w:w="115" w:type="dxa"/>
              <w:bottom w:w="100" w:type="dxa"/>
              <w:right w:w="115" w:type="dxa"/>
            </w:tcMar>
          </w:tcPr>
          <w:p>
            <w:pPr>
              <w:suppressAutoHyphens/>
              <w:spacing w:before="40" w:after="40"/>
              <w:jc w:val="center"/>
              <w:rPr>
                <w:lang w:eastAsia="zh-CN"/>
              </w:rPr>
            </w:pPr>
            <w:r>
              <w:rPr>
                <w:lang w:eastAsia="zh-CN"/>
              </w:rPr>
              <w:t>1</w:t>
            </w:r>
          </w:p>
        </w:tc>
        <w:tc>
          <w:tcPr>
            <w:tcW w:w="1427" w:type="dxa"/>
            <w:tcMar>
              <w:top w:w="100" w:type="dxa"/>
              <w:left w:w="115" w:type="dxa"/>
              <w:bottom w:w="100" w:type="dxa"/>
              <w:right w:w="115" w:type="dxa"/>
            </w:tcMar>
          </w:tcPr>
          <w:p>
            <w:pPr>
              <w:suppressAutoHyphens/>
              <w:spacing w:before="40" w:after="40"/>
              <w:jc w:val="center"/>
              <w:rPr>
                <w:lang w:eastAsia="zh-CN"/>
              </w:rPr>
            </w:pPr>
            <w:r>
              <w:rPr>
                <w:lang w:eastAsia="zh-CN"/>
              </w:rPr>
              <w:t>-</w:t>
            </w:r>
          </w:p>
        </w:tc>
        <w:tc>
          <w:tcPr>
            <w:tcW w:w="1236" w:type="dxa"/>
            <w:tcMar>
              <w:top w:w="100" w:type="dxa"/>
              <w:left w:w="115" w:type="dxa"/>
              <w:bottom w:w="100" w:type="dxa"/>
              <w:right w:w="115" w:type="dxa"/>
            </w:tcMar>
          </w:tcPr>
          <w:p>
            <w:pPr>
              <w:suppressAutoHyphens/>
              <w:spacing w:before="40" w:after="40"/>
              <w:jc w:val="center"/>
              <w:rPr>
                <w:lang w:eastAsia="zh-CN"/>
              </w:rPr>
            </w:pPr>
            <w:r>
              <w:rPr>
                <w:lang w:eastAsia="zh-CN"/>
              </w:rPr>
              <w:t>-</w:t>
            </w:r>
          </w:p>
        </w:tc>
      </w:tr>
      <w:tr>
        <w:trPr>
          <w:trHeight w:val="1010"/>
          <w:jc w:val="center"/>
        </w:trPr>
        <w:tc>
          <w:tcPr>
            <w:tcW w:w="2826" w:type="dxa"/>
            <w:tcMar>
              <w:top w:w="100" w:type="dxa"/>
              <w:left w:w="115" w:type="dxa"/>
              <w:bottom w:w="100" w:type="dxa"/>
              <w:right w:w="115" w:type="dxa"/>
            </w:tcMar>
          </w:tcPr>
          <w:p>
            <w:pPr>
              <w:jc w:val="both"/>
            </w:pPr>
            <w:r>
              <w:t xml:space="preserve">Участь у створенні та діяльності </w:t>
            </w:r>
            <w:proofErr w:type="spellStart"/>
            <w:r>
              <w:t>Local</w:t>
            </w:r>
            <w:proofErr w:type="spellEnd"/>
            <w:r>
              <w:t xml:space="preserve"> </w:t>
            </w:r>
            <w:proofErr w:type="spellStart"/>
            <w:r>
              <w:t>Implementation</w:t>
            </w:r>
            <w:proofErr w:type="spellEnd"/>
            <w:r>
              <w:t xml:space="preserve"> Project, %</w:t>
            </w:r>
          </w:p>
        </w:tc>
        <w:tc>
          <w:tcPr>
            <w:tcW w:w="1427" w:type="dxa"/>
            <w:tcMar>
              <w:top w:w="100" w:type="dxa"/>
              <w:left w:w="115" w:type="dxa"/>
              <w:bottom w:w="100" w:type="dxa"/>
              <w:right w:w="115" w:type="dxa"/>
            </w:tcMar>
          </w:tcPr>
          <w:p>
            <w:pPr>
              <w:jc w:val="center"/>
              <w:rPr>
                <w:lang w:eastAsia="zh-CN"/>
              </w:rPr>
            </w:pPr>
            <w:r>
              <w:rPr>
                <w:lang w:eastAsia="zh-CN"/>
              </w:rPr>
              <w:t>-</w:t>
            </w:r>
          </w:p>
        </w:tc>
        <w:tc>
          <w:tcPr>
            <w:tcW w:w="1427" w:type="dxa"/>
            <w:tcMar>
              <w:top w:w="100" w:type="dxa"/>
              <w:left w:w="115" w:type="dxa"/>
              <w:bottom w:w="100" w:type="dxa"/>
              <w:right w:w="115" w:type="dxa"/>
            </w:tcMar>
          </w:tcPr>
          <w:p>
            <w:pPr>
              <w:jc w:val="center"/>
              <w:rPr>
                <w:lang w:eastAsia="zh-CN"/>
              </w:rPr>
            </w:pPr>
            <w:r>
              <w:rPr>
                <w:lang w:eastAsia="zh-CN"/>
              </w:rPr>
              <w:t>100</w:t>
            </w:r>
          </w:p>
        </w:tc>
        <w:tc>
          <w:tcPr>
            <w:tcW w:w="1427" w:type="dxa"/>
            <w:tcMar>
              <w:top w:w="100" w:type="dxa"/>
              <w:left w:w="115" w:type="dxa"/>
              <w:bottom w:w="100" w:type="dxa"/>
              <w:right w:w="115" w:type="dxa"/>
            </w:tcMar>
          </w:tcPr>
          <w:p>
            <w:pPr>
              <w:jc w:val="center"/>
              <w:rPr>
                <w:lang w:eastAsia="zh-CN"/>
              </w:rPr>
            </w:pPr>
            <w:r>
              <w:rPr>
                <w:lang w:eastAsia="zh-CN"/>
              </w:rPr>
              <w:t>100</w:t>
            </w:r>
          </w:p>
        </w:tc>
        <w:tc>
          <w:tcPr>
            <w:tcW w:w="1427" w:type="dxa"/>
            <w:tcMar>
              <w:top w:w="100" w:type="dxa"/>
              <w:left w:w="115" w:type="dxa"/>
              <w:bottom w:w="100" w:type="dxa"/>
              <w:right w:w="115" w:type="dxa"/>
            </w:tcMar>
          </w:tcPr>
          <w:p>
            <w:pPr>
              <w:jc w:val="center"/>
              <w:rPr>
                <w:lang w:eastAsia="zh-CN"/>
              </w:rPr>
            </w:pPr>
            <w:r>
              <w:rPr>
                <w:lang w:eastAsia="zh-CN"/>
              </w:rPr>
              <w:t>100</w:t>
            </w:r>
          </w:p>
        </w:tc>
        <w:tc>
          <w:tcPr>
            <w:tcW w:w="1236" w:type="dxa"/>
            <w:tcMar>
              <w:top w:w="100" w:type="dxa"/>
              <w:left w:w="115" w:type="dxa"/>
              <w:bottom w:w="100" w:type="dxa"/>
              <w:right w:w="115" w:type="dxa"/>
            </w:tcMar>
          </w:tcPr>
          <w:p>
            <w:pPr>
              <w:jc w:val="center"/>
              <w:rPr>
                <w:lang w:eastAsia="zh-CN"/>
              </w:rPr>
            </w:pPr>
            <w:r>
              <w:rPr>
                <w:lang w:eastAsia="zh-CN"/>
              </w:rPr>
              <w:t>100</w:t>
            </w:r>
          </w:p>
        </w:tc>
      </w:tr>
      <w:tr>
        <w:trPr>
          <w:jc w:val="center"/>
        </w:trPr>
        <w:tc>
          <w:tcPr>
            <w:tcW w:w="2826" w:type="dxa"/>
            <w:tcMar>
              <w:top w:w="100" w:type="dxa"/>
              <w:left w:w="115" w:type="dxa"/>
              <w:bottom w:w="100" w:type="dxa"/>
              <w:right w:w="115" w:type="dxa"/>
            </w:tcMar>
          </w:tcPr>
          <w:p>
            <w:pPr>
              <w:suppressAutoHyphens/>
              <w:spacing w:before="40" w:after="40"/>
              <w:jc w:val="both"/>
              <w:rPr>
                <w:lang w:eastAsia="zh-CN"/>
              </w:rPr>
            </w:pPr>
            <w:r>
              <w:rPr>
                <w:lang w:eastAsia="zh-CN"/>
              </w:rPr>
              <w:t xml:space="preserve"> Участь у імплементації європейського законодавства в сфері електроенергетики в частині </w:t>
            </w:r>
            <w:proofErr w:type="spellStart"/>
            <w:r>
              <w:rPr>
                <w:lang w:eastAsia="zh-CN"/>
              </w:rPr>
              <w:t>market</w:t>
            </w:r>
            <w:proofErr w:type="spellEnd"/>
            <w:r>
              <w:rPr>
                <w:lang w:eastAsia="zh-CN"/>
              </w:rPr>
              <w:t xml:space="preserve"> </w:t>
            </w:r>
            <w:proofErr w:type="spellStart"/>
            <w:r>
              <w:rPr>
                <w:lang w:eastAsia="zh-CN"/>
              </w:rPr>
              <w:t>coupling</w:t>
            </w:r>
            <w:proofErr w:type="spellEnd"/>
            <w:r>
              <w:rPr>
                <w:lang w:eastAsia="zh-CN"/>
              </w:rPr>
              <w:t xml:space="preserve"> (первинне законодавство) та участь у розробці вторинного законодавства, %</w:t>
            </w:r>
          </w:p>
        </w:tc>
        <w:tc>
          <w:tcPr>
            <w:tcW w:w="1427" w:type="dxa"/>
            <w:tcMar>
              <w:top w:w="100" w:type="dxa"/>
              <w:left w:w="115" w:type="dxa"/>
              <w:bottom w:w="100" w:type="dxa"/>
              <w:right w:w="115" w:type="dxa"/>
            </w:tcMar>
          </w:tcPr>
          <w:p>
            <w:pPr>
              <w:suppressAutoHyphens/>
              <w:spacing w:before="40" w:after="40"/>
              <w:jc w:val="center"/>
              <w:rPr>
                <w:lang w:eastAsia="zh-CN"/>
              </w:rPr>
            </w:pPr>
            <w:r>
              <w:rPr>
                <w:lang w:eastAsia="zh-CN"/>
              </w:rPr>
              <w:t>-</w:t>
            </w:r>
          </w:p>
        </w:tc>
        <w:tc>
          <w:tcPr>
            <w:tcW w:w="1427" w:type="dxa"/>
            <w:tcMar>
              <w:top w:w="100" w:type="dxa"/>
              <w:left w:w="115" w:type="dxa"/>
              <w:bottom w:w="100" w:type="dxa"/>
              <w:right w:w="115" w:type="dxa"/>
            </w:tcMar>
          </w:tcPr>
          <w:p>
            <w:pPr>
              <w:suppressAutoHyphens/>
              <w:spacing w:before="40" w:after="40"/>
              <w:jc w:val="center"/>
              <w:rPr>
                <w:lang w:eastAsia="zh-CN"/>
              </w:rPr>
            </w:pPr>
            <w:r>
              <w:rPr>
                <w:lang w:eastAsia="zh-CN"/>
              </w:rPr>
              <w:t>-</w:t>
            </w:r>
          </w:p>
        </w:tc>
        <w:tc>
          <w:tcPr>
            <w:tcW w:w="1427" w:type="dxa"/>
            <w:tcMar>
              <w:top w:w="100" w:type="dxa"/>
              <w:left w:w="115" w:type="dxa"/>
              <w:bottom w:w="100" w:type="dxa"/>
              <w:right w:w="115" w:type="dxa"/>
            </w:tcMar>
          </w:tcPr>
          <w:p>
            <w:pPr>
              <w:suppressAutoHyphens/>
              <w:spacing w:before="40" w:after="40"/>
              <w:jc w:val="center"/>
              <w:rPr>
                <w:lang w:eastAsia="zh-CN"/>
              </w:rPr>
            </w:pPr>
            <w:r>
              <w:rPr>
                <w:lang w:eastAsia="zh-CN"/>
              </w:rPr>
              <w:t>100</w:t>
            </w:r>
          </w:p>
        </w:tc>
        <w:tc>
          <w:tcPr>
            <w:tcW w:w="1427" w:type="dxa"/>
            <w:tcMar>
              <w:top w:w="100" w:type="dxa"/>
              <w:left w:w="115" w:type="dxa"/>
              <w:bottom w:w="100" w:type="dxa"/>
              <w:right w:w="115" w:type="dxa"/>
            </w:tcMar>
          </w:tcPr>
          <w:p>
            <w:pPr>
              <w:suppressAutoHyphens/>
              <w:spacing w:before="40" w:after="40"/>
              <w:jc w:val="center"/>
              <w:rPr>
                <w:lang w:eastAsia="zh-CN"/>
              </w:rPr>
            </w:pPr>
            <w:r>
              <w:rPr>
                <w:lang w:eastAsia="zh-CN"/>
              </w:rPr>
              <w:t>100</w:t>
            </w:r>
          </w:p>
        </w:tc>
        <w:tc>
          <w:tcPr>
            <w:tcW w:w="1236" w:type="dxa"/>
            <w:tcMar>
              <w:top w:w="100" w:type="dxa"/>
              <w:left w:w="115" w:type="dxa"/>
              <w:bottom w:w="100" w:type="dxa"/>
              <w:right w:w="115" w:type="dxa"/>
            </w:tcMar>
          </w:tcPr>
          <w:p>
            <w:pPr>
              <w:suppressAutoHyphens/>
              <w:spacing w:before="40" w:after="40"/>
              <w:jc w:val="center"/>
              <w:rPr>
                <w:lang w:eastAsia="zh-CN"/>
              </w:rPr>
            </w:pPr>
            <w:r>
              <w:rPr>
                <w:lang w:eastAsia="zh-CN"/>
              </w:rPr>
              <w:t>-</w:t>
            </w:r>
          </w:p>
        </w:tc>
      </w:tr>
      <w:tr>
        <w:trPr>
          <w:jc w:val="center"/>
        </w:trPr>
        <w:tc>
          <w:tcPr>
            <w:tcW w:w="2826" w:type="dxa"/>
            <w:tcMar>
              <w:top w:w="100" w:type="dxa"/>
              <w:left w:w="115" w:type="dxa"/>
              <w:bottom w:w="100" w:type="dxa"/>
              <w:right w:w="115" w:type="dxa"/>
            </w:tcMar>
          </w:tcPr>
          <w:p>
            <w:pPr>
              <w:suppressAutoHyphens/>
              <w:spacing w:before="40" w:after="40"/>
              <w:jc w:val="both"/>
              <w:rPr>
                <w:lang w:eastAsia="zh-CN"/>
              </w:rPr>
            </w:pPr>
            <w:r>
              <w:rPr>
                <w:lang w:eastAsia="zh-CN"/>
              </w:rPr>
              <w:t xml:space="preserve"> </w:t>
            </w:r>
          </w:p>
          <w:p>
            <w:pPr>
              <w:suppressAutoHyphens/>
              <w:spacing w:before="40" w:after="40"/>
              <w:jc w:val="both"/>
              <w:rPr>
                <w:lang w:eastAsia="zh-CN"/>
              </w:rPr>
            </w:pPr>
            <w:r>
              <w:rPr>
                <w:lang w:eastAsia="zh-CN"/>
              </w:rPr>
              <w:t>Отримання статусу NEMO</w:t>
            </w:r>
          </w:p>
        </w:tc>
        <w:tc>
          <w:tcPr>
            <w:tcW w:w="1427" w:type="dxa"/>
            <w:tcMar>
              <w:top w:w="100" w:type="dxa"/>
              <w:left w:w="115" w:type="dxa"/>
              <w:bottom w:w="100" w:type="dxa"/>
              <w:right w:w="115" w:type="dxa"/>
            </w:tcMar>
          </w:tcPr>
          <w:p>
            <w:pPr>
              <w:suppressAutoHyphens/>
              <w:spacing w:before="40" w:after="40"/>
              <w:jc w:val="center"/>
              <w:rPr>
                <w:lang w:eastAsia="zh-CN"/>
              </w:rPr>
            </w:pPr>
            <w:r>
              <w:rPr>
                <w:lang w:eastAsia="zh-CN"/>
              </w:rPr>
              <w:t>-</w:t>
            </w:r>
          </w:p>
        </w:tc>
        <w:tc>
          <w:tcPr>
            <w:tcW w:w="1427" w:type="dxa"/>
            <w:tcMar>
              <w:top w:w="100" w:type="dxa"/>
              <w:left w:w="115" w:type="dxa"/>
              <w:bottom w:w="100" w:type="dxa"/>
              <w:right w:w="115" w:type="dxa"/>
            </w:tcMar>
          </w:tcPr>
          <w:p>
            <w:pPr>
              <w:suppressAutoHyphens/>
              <w:spacing w:before="40" w:after="40"/>
              <w:jc w:val="center"/>
              <w:rPr>
                <w:lang w:eastAsia="zh-CN"/>
              </w:rPr>
            </w:pPr>
            <w:r>
              <w:rPr>
                <w:lang w:eastAsia="zh-CN"/>
              </w:rPr>
              <w:t>-</w:t>
            </w:r>
          </w:p>
        </w:tc>
        <w:tc>
          <w:tcPr>
            <w:tcW w:w="1427" w:type="dxa"/>
            <w:tcMar>
              <w:top w:w="100" w:type="dxa"/>
              <w:left w:w="115" w:type="dxa"/>
              <w:bottom w:w="100" w:type="dxa"/>
              <w:right w:w="115" w:type="dxa"/>
            </w:tcMar>
          </w:tcPr>
          <w:p>
            <w:pPr>
              <w:suppressAutoHyphens/>
              <w:spacing w:before="40" w:after="40"/>
              <w:jc w:val="center"/>
              <w:rPr>
                <w:lang w:eastAsia="zh-CN"/>
              </w:rPr>
            </w:pPr>
            <w:r>
              <w:rPr>
                <w:lang w:eastAsia="zh-CN"/>
              </w:rPr>
              <w:t>1</w:t>
            </w:r>
          </w:p>
        </w:tc>
        <w:tc>
          <w:tcPr>
            <w:tcW w:w="1427" w:type="dxa"/>
            <w:tcMar>
              <w:top w:w="100" w:type="dxa"/>
              <w:left w:w="115" w:type="dxa"/>
              <w:bottom w:w="100" w:type="dxa"/>
              <w:right w:w="115" w:type="dxa"/>
            </w:tcMar>
          </w:tcPr>
          <w:p>
            <w:pPr>
              <w:suppressAutoHyphens/>
              <w:spacing w:before="40" w:after="40"/>
              <w:jc w:val="center"/>
              <w:rPr>
                <w:lang w:eastAsia="zh-CN"/>
              </w:rPr>
            </w:pPr>
            <w:r>
              <w:rPr>
                <w:lang w:eastAsia="zh-CN"/>
              </w:rPr>
              <w:t>-</w:t>
            </w:r>
          </w:p>
        </w:tc>
        <w:tc>
          <w:tcPr>
            <w:tcW w:w="1236" w:type="dxa"/>
            <w:tcMar>
              <w:top w:w="100" w:type="dxa"/>
              <w:left w:w="115" w:type="dxa"/>
              <w:bottom w:w="100" w:type="dxa"/>
              <w:right w:w="115" w:type="dxa"/>
            </w:tcMar>
          </w:tcPr>
          <w:p>
            <w:pPr>
              <w:suppressAutoHyphens/>
              <w:spacing w:before="40" w:after="40"/>
              <w:jc w:val="center"/>
              <w:rPr>
                <w:lang w:eastAsia="zh-CN"/>
              </w:rPr>
            </w:pPr>
            <w:r>
              <w:rPr>
                <w:lang w:eastAsia="zh-CN"/>
              </w:rPr>
              <w:t>-</w:t>
            </w:r>
          </w:p>
        </w:tc>
      </w:tr>
      <w:tr>
        <w:trPr>
          <w:jc w:val="center"/>
        </w:trPr>
        <w:tc>
          <w:tcPr>
            <w:tcW w:w="2826" w:type="dxa"/>
            <w:tcMar>
              <w:top w:w="100" w:type="dxa"/>
              <w:left w:w="115" w:type="dxa"/>
              <w:bottom w:w="100" w:type="dxa"/>
              <w:right w:w="115" w:type="dxa"/>
            </w:tcMar>
          </w:tcPr>
          <w:p>
            <w:pPr>
              <w:suppressAutoHyphens/>
              <w:spacing w:before="40" w:after="40"/>
              <w:jc w:val="both"/>
              <w:rPr>
                <w:lang w:eastAsia="zh-CN"/>
              </w:rPr>
            </w:pPr>
            <w:r>
              <w:rPr>
                <w:lang w:eastAsia="zh-CN"/>
              </w:rPr>
              <w:lastRenderedPageBreak/>
              <w:t>Підписання та приєднання до необхідних планів/договорів для роботи у SDAC/SIDC, %</w:t>
            </w:r>
          </w:p>
        </w:tc>
        <w:tc>
          <w:tcPr>
            <w:tcW w:w="1427" w:type="dxa"/>
            <w:tcMar>
              <w:top w:w="100" w:type="dxa"/>
              <w:left w:w="115" w:type="dxa"/>
              <w:bottom w:w="100" w:type="dxa"/>
              <w:right w:w="115" w:type="dxa"/>
            </w:tcMar>
          </w:tcPr>
          <w:p>
            <w:pPr>
              <w:suppressAutoHyphens/>
              <w:spacing w:before="40" w:after="40"/>
              <w:jc w:val="center"/>
              <w:rPr>
                <w:lang w:eastAsia="zh-CN"/>
              </w:rPr>
            </w:pPr>
            <w:r>
              <w:rPr>
                <w:lang w:eastAsia="zh-CN"/>
              </w:rPr>
              <w:t>-</w:t>
            </w:r>
          </w:p>
        </w:tc>
        <w:tc>
          <w:tcPr>
            <w:tcW w:w="1427" w:type="dxa"/>
            <w:tcMar>
              <w:top w:w="100" w:type="dxa"/>
              <w:left w:w="115" w:type="dxa"/>
              <w:bottom w:w="100" w:type="dxa"/>
              <w:right w:w="115" w:type="dxa"/>
            </w:tcMar>
          </w:tcPr>
          <w:p>
            <w:pPr>
              <w:suppressAutoHyphens/>
              <w:spacing w:before="40" w:after="40"/>
              <w:jc w:val="center"/>
              <w:rPr>
                <w:lang w:eastAsia="zh-CN"/>
              </w:rPr>
            </w:pPr>
            <w:r>
              <w:rPr>
                <w:lang w:eastAsia="zh-CN"/>
              </w:rPr>
              <w:t>-</w:t>
            </w:r>
          </w:p>
        </w:tc>
        <w:tc>
          <w:tcPr>
            <w:tcW w:w="1427" w:type="dxa"/>
            <w:tcMar>
              <w:top w:w="100" w:type="dxa"/>
              <w:left w:w="115" w:type="dxa"/>
              <w:bottom w:w="100" w:type="dxa"/>
              <w:right w:w="115" w:type="dxa"/>
            </w:tcMar>
          </w:tcPr>
          <w:p>
            <w:pPr>
              <w:suppressAutoHyphens/>
              <w:spacing w:before="40" w:after="40"/>
              <w:jc w:val="center"/>
              <w:rPr>
                <w:lang w:eastAsia="zh-CN"/>
              </w:rPr>
            </w:pPr>
            <w:r>
              <w:rPr>
                <w:lang w:eastAsia="zh-CN"/>
              </w:rPr>
              <w:t>100</w:t>
            </w:r>
          </w:p>
        </w:tc>
        <w:tc>
          <w:tcPr>
            <w:tcW w:w="1427" w:type="dxa"/>
            <w:tcMar>
              <w:top w:w="100" w:type="dxa"/>
              <w:left w:w="115" w:type="dxa"/>
              <w:bottom w:w="100" w:type="dxa"/>
              <w:right w:w="115" w:type="dxa"/>
            </w:tcMar>
          </w:tcPr>
          <w:p>
            <w:pPr>
              <w:suppressAutoHyphens/>
              <w:spacing w:before="40" w:after="40"/>
              <w:jc w:val="center"/>
              <w:rPr>
                <w:lang w:eastAsia="zh-CN"/>
              </w:rPr>
            </w:pPr>
            <w:r>
              <w:rPr>
                <w:lang w:eastAsia="zh-CN"/>
              </w:rPr>
              <w:t>100</w:t>
            </w:r>
          </w:p>
        </w:tc>
        <w:tc>
          <w:tcPr>
            <w:tcW w:w="1236" w:type="dxa"/>
            <w:tcMar>
              <w:top w:w="100" w:type="dxa"/>
              <w:left w:w="115" w:type="dxa"/>
              <w:bottom w:w="100" w:type="dxa"/>
              <w:right w:w="115" w:type="dxa"/>
            </w:tcMar>
          </w:tcPr>
          <w:p>
            <w:pPr>
              <w:suppressAutoHyphens/>
              <w:spacing w:before="40" w:after="40"/>
              <w:jc w:val="center"/>
              <w:rPr>
                <w:lang w:eastAsia="zh-CN"/>
              </w:rPr>
            </w:pPr>
            <w:r>
              <w:rPr>
                <w:lang w:eastAsia="zh-CN"/>
              </w:rPr>
              <w:t>-</w:t>
            </w:r>
          </w:p>
        </w:tc>
      </w:tr>
    </w:tbl>
    <w:p>
      <w:pPr>
        <w:pStyle w:val="a6"/>
        <w:ind w:left="567"/>
        <w:jc w:val="both"/>
        <w:rPr>
          <w:rFonts w:ascii="Times New Roman" w:hAnsi="Times New Roman" w:cs="Times New Roman"/>
          <w:iCs/>
          <w:color w:val="auto"/>
          <w:lang w:eastAsia="zh-CN" w:bidi="ar-SA"/>
        </w:rPr>
      </w:pPr>
    </w:p>
    <w:p>
      <w:pPr>
        <w:suppressAutoHyphens/>
        <w:spacing w:before="40" w:after="40"/>
        <w:jc w:val="both"/>
        <w:rPr>
          <w:b/>
          <w:bCs/>
          <w:sz w:val="28"/>
          <w:szCs w:val="28"/>
          <w:lang w:eastAsia="zh-CN"/>
        </w:rPr>
      </w:pPr>
      <w:r>
        <w:rPr>
          <w:b/>
          <w:bCs/>
          <w:lang w:eastAsia="zh-CN"/>
        </w:rPr>
        <w:t xml:space="preserve">          </w:t>
      </w:r>
    </w:p>
    <w:p>
      <w:pPr>
        <w:suppressAutoHyphens/>
        <w:spacing w:before="40" w:after="40"/>
        <w:jc w:val="center"/>
        <w:rPr>
          <w:b/>
          <w:bCs/>
          <w:sz w:val="28"/>
          <w:szCs w:val="28"/>
          <w:lang w:eastAsia="zh-CN"/>
        </w:rPr>
      </w:pPr>
      <w:r>
        <w:rPr>
          <w:b/>
          <w:bCs/>
          <w:sz w:val="28"/>
          <w:szCs w:val="28"/>
          <w:lang w:val="en-US" w:eastAsia="zh-CN"/>
        </w:rPr>
        <w:t>V</w:t>
      </w:r>
      <w:r>
        <w:rPr>
          <w:b/>
          <w:bCs/>
          <w:sz w:val="28"/>
          <w:szCs w:val="28"/>
          <w:lang w:val="ru-RU" w:eastAsia="zh-CN"/>
        </w:rPr>
        <w:t>.</w:t>
      </w:r>
      <w:r>
        <w:rPr>
          <w:b/>
          <w:bCs/>
          <w:sz w:val="28"/>
          <w:szCs w:val="28"/>
          <w:lang w:val="en-US" w:eastAsia="zh-CN"/>
        </w:rPr>
        <w:t> </w:t>
      </w:r>
      <w:r>
        <w:rPr>
          <w:b/>
          <w:bCs/>
          <w:sz w:val="28"/>
          <w:szCs w:val="28"/>
          <w:lang w:eastAsia="zh-CN"/>
        </w:rPr>
        <w:t>Корпоративне управління</w:t>
      </w:r>
    </w:p>
    <w:p>
      <w:pPr>
        <w:suppressAutoHyphens/>
        <w:spacing w:before="40" w:after="40"/>
        <w:ind w:firstLine="567"/>
        <w:jc w:val="both"/>
        <w:rPr>
          <w:sz w:val="28"/>
          <w:szCs w:val="28"/>
          <w:lang w:eastAsia="zh-CN"/>
        </w:rPr>
      </w:pPr>
      <w:r>
        <w:rPr>
          <w:sz w:val="28"/>
          <w:szCs w:val="28"/>
          <w:lang w:eastAsia="zh-CN"/>
        </w:rPr>
        <w:t>Відповідно до вимог законодавства АТ «Оператор ринку» є акціонерним товариством 100 % акцій якого належать державі та не підлягають приватизації.</w:t>
      </w:r>
    </w:p>
    <w:p>
      <w:pPr>
        <w:suppressAutoHyphens/>
        <w:spacing w:before="40" w:after="40"/>
        <w:ind w:firstLine="567"/>
        <w:jc w:val="both"/>
        <w:rPr>
          <w:sz w:val="28"/>
          <w:szCs w:val="28"/>
          <w:lang w:eastAsia="zh-CN"/>
        </w:rPr>
      </w:pPr>
      <w:r>
        <w:rPr>
          <w:sz w:val="28"/>
          <w:szCs w:val="28"/>
          <w:lang w:eastAsia="zh-CN"/>
        </w:rPr>
        <w:t>Товариство повинно забезпечити:</w:t>
      </w:r>
    </w:p>
    <w:p>
      <w:pPr>
        <w:suppressAutoHyphens/>
        <w:spacing w:before="40" w:after="40"/>
        <w:ind w:firstLine="567"/>
        <w:jc w:val="both"/>
        <w:rPr>
          <w:sz w:val="28"/>
          <w:szCs w:val="28"/>
          <w:lang w:eastAsia="zh-CN"/>
        </w:rPr>
      </w:pPr>
      <w:r>
        <w:rPr>
          <w:sz w:val="28"/>
          <w:szCs w:val="28"/>
          <w:lang w:eastAsia="zh-CN"/>
        </w:rPr>
        <w:t xml:space="preserve">приведення у відповідність до вимог Закону України «Про акціонерні товариства» та Закону України «Про управління об’єктами державної власності» внутрішніх документів, якими регулюється його діяльність – у строк </w:t>
      </w:r>
      <w:r>
        <w:rPr>
          <w:sz w:val="28"/>
          <w:szCs w:val="28"/>
          <w:lang w:eastAsia="zh-CN"/>
        </w:rPr>
        <w:br/>
        <w:t>до 08 березня 2025 року;</w:t>
      </w:r>
    </w:p>
    <w:p>
      <w:pPr>
        <w:suppressAutoHyphens/>
        <w:spacing w:before="40" w:after="40"/>
        <w:ind w:firstLine="567"/>
        <w:jc w:val="both"/>
        <w:rPr>
          <w:sz w:val="28"/>
          <w:szCs w:val="28"/>
          <w:lang w:eastAsia="zh-CN"/>
        </w:rPr>
      </w:pPr>
      <w:r>
        <w:rPr>
          <w:sz w:val="28"/>
          <w:szCs w:val="28"/>
          <w:lang w:eastAsia="zh-CN"/>
        </w:rPr>
        <w:t xml:space="preserve">призначення внутрішнього аудитора відповідно до вимог Закону України «Про управління об’єктами державної власності» – у строк до 08 березня </w:t>
      </w:r>
      <w:r>
        <w:rPr>
          <w:sz w:val="28"/>
          <w:szCs w:val="28"/>
          <w:lang w:eastAsia="zh-CN"/>
        </w:rPr>
        <w:br/>
        <w:t xml:space="preserve">2025 року; </w:t>
      </w:r>
    </w:p>
    <w:p>
      <w:pPr>
        <w:suppressAutoHyphens/>
        <w:spacing w:before="40" w:after="40"/>
        <w:ind w:firstLine="567"/>
        <w:jc w:val="both"/>
        <w:rPr>
          <w:sz w:val="28"/>
          <w:szCs w:val="28"/>
          <w:lang w:eastAsia="zh-CN"/>
        </w:rPr>
      </w:pPr>
      <w:r>
        <w:rPr>
          <w:sz w:val="28"/>
          <w:szCs w:val="28"/>
          <w:lang w:eastAsia="zh-CN"/>
        </w:rPr>
        <w:t xml:space="preserve">дотримання вимог та норм Політки державної власності, а також рекомендацій з корпоративного управління Організації економічного співробітництва та розвитку в частині, що не суперечить вимогам законодавства України, – постійно. </w:t>
      </w:r>
    </w:p>
    <w:p>
      <w:pPr>
        <w:suppressAutoHyphens/>
        <w:spacing w:before="40" w:after="40"/>
        <w:ind w:firstLine="567"/>
        <w:jc w:val="both"/>
        <w:rPr>
          <w:sz w:val="28"/>
          <w:szCs w:val="28"/>
          <w:lang w:eastAsia="zh-CN"/>
        </w:rPr>
      </w:pPr>
    </w:p>
    <w:p>
      <w:pPr>
        <w:tabs>
          <w:tab w:val="left" w:pos="567"/>
        </w:tabs>
        <w:suppressAutoHyphens/>
        <w:spacing w:before="40" w:after="40"/>
        <w:jc w:val="center"/>
        <w:rPr>
          <w:b/>
          <w:bCs/>
          <w:sz w:val="28"/>
          <w:szCs w:val="28"/>
          <w:lang w:eastAsia="zh-CN"/>
        </w:rPr>
      </w:pPr>
      <w:r>
        <w:rPr>
          <w:b/>
          <w:bCs/>
          <w:sz w:val="28"/>
          <w:szCs w:val="28"/>
          <w:lang w:val="en-US" w:eastAsia="zh-CN"/>
        </w:rPr>
        <w:t>VI</w:t>
      </w:r>
      <w:r>
        <w:rPr>
          <w:b/>
          <w:bCs/>
          <w:sz w:val="28"/>
          <w:szCs w:val="28"/>
          <w:lang w:eastAsia="zh-CN"/>
        </w:rPr>
        <w:t>.</w:t>
      </w:r>
      <w:r>
        <w:rPr>
          <w:b/>
          <w:bCs/>
          <w:sz w:val="28"/>
          <w:szCs w:val="28"/>
          <w:lang w:val="en-US" w:eastAsia="zh-CN"/>
        </w:rPr>
        <w:t> </w:t>
      </w:r>
      <w:r>
        <w:rPr>
          <w:b/>
          <w:bCs/>
          <w:sz w:val="28"/>
          <w:szCs w:val="28"/>
          <w:lang w:eastAsia="zh-CN"/>
        </w:rPr>
        <w:t>Очікування щодо управління дочірніми підприємствами</w:t>
      </w:r>
    </w:p>
    <w:p>
      <w:pPr>
        <w:suppressAutoHyphens/>
        <w:spacing w:before="40" w:after="40"/>
        <w:ind w:firstLine="567"/>
        <w:jc w:val="both"/>
        <w:rPr>
          <w:sz w:val="28"/>
          <w:szCs w:val="28"/>
          <w:lang w:eastAsia="zh-CN"/>
        </w:rPr>
      </w:pPr>
      <w:r>
        <w:rPr>
          <w:sz w:val="28"/>
          <w:szCs w:val="28"/>
          <w:lang w:eastAsia="zh-CN"/>
        </w:rPr>
        <w:t>Дочірні підприємства відсутні.</w:t>
      </w:r>
    </w:p>
    <w:p>
      <w:pPr>
        <w:suppressAutoHyphens/>
        <w:spacing w:before="40" w:after="40"/>
        <w:jc w:val="both"/>
        <w:rPr>
          <w:sz w:val="28"/>
          <w:szCs w:val="28"/>
          <w:lang w:eastAsia="zh-CN"/>
        </w:rPr>
      </w:pPr>
    </w:p>
    <w:p>
      <w:pPr>
        <w:suppressAutoHyphens/>
        <w:spacing w:before="40" w:after="40"/>
        <w:jc w:val="center"/>
        <w:rPr>
          <w:b/>
          <w:bCs/>
          <w:sz w:val="28"/>
          <w:szCs w:val="28"/>
          <w:lang w:eastAsia="zh-CN"/>
        </w:rPr>
      </w:pPr>
      <w:r>
        <w:rPr>
          <w:b/>
          <w:bCs/>
          <w:sz w:val="28"/>
          <w:szCs w:val="28"/>
          <w:lang w:val="en-US" w:eastAsia="zh-CN"/>
        </w:rPr>
        <w:t>VII</w:t>
      </w:r>
      <w:r>
        <w:rPr>
          <w:b/>
          <w:bCs/>
          <w:sz w:val="28"/>
          <w:szCs w:val="28"/>
          <w:lang w:eastAsia="zh-CN"/>
        </w:rPr>
        <w:t>.</w:t>
      </w:r>
      <w:r>
        <w:rPr>
          <w:b/>
          <w:bCs/>
          <w:sz w:val="28"/>
          <w:szCs w:val="28"/>
          <w:lang w:val="en-US" w:eastAsia="zh-CN"/>
        </w:rPr>
        <w:t> </w:t>
      </w:r>
      <w:r>
        <w:rPr>
          <w:b/>
          <w:bCs/>
          <w:sz w:val="28"/>
          <w:szCs w:val="28"/>
          <w:lang w:eastAsia="zh-CN"/>
        </w:rPr>
        <w:t>Консультації з Наглядовою радою (виконавчим органом) Товариства</w:t>
      </w:r>
    </w:p>
    <w:p>
      <w:pPr>
        <w:ind w:firstLine="567"/>
        <w:jc w:val="both"/>
        <w:rPr>
          <w:sz w:val="28"/>
          <w:szCs w:val="28"/>
        </w:rPr>
      </w:pPr>
      <w:r>
        <w:rPr>
          <w:sz w:val="28"/>
          <w:szCs w:val="28"/>
          <w:lang w:eastAsia="zh-CN"/>
        </w:rPr>
        <w:t>Зауваження та пропозиції у вищого органу управління (Міністерства енергетики України як єдиного акціонера) до Листа очікувань власника відсутні.</w:t>
      </w:r>
    </w:p>
    <w:p>
      <w:pPr>
        <w:rPr>
          <w:sz w:val="28"/>
          <w:szCs w:val="28"/>
        </w:rPr>
      </w:pPr>
    </w:p>
    <w:p>
      <w:pPr>
        <w:tabs>
          <w:tab w:val="left" w:pos="2370"/>
          <w:tab w:val="left" w:pos="2527"/>
        </w:tabs>
        <w:rPr>
          <w:sz w:val="28"/>
          <w:szCs w:val="28"/>
        </w:rPr>
      </w:pPr>
      <w:r>
        <w:rPr>
          <w:sz w:val="28"/>
          <w:szCs w:val="28"/>
        </w:rPr>
        <w:tab/>
      </w:r>
      <w:r>
        <w:rPr>
          <w:sz w:val="28"/>
          <w:szCs w:val="28"/>
        </w:rPr>
        <w:tab/>
        <w:t>_________________________________________</w:t>
      </w:r>
    </w:p>
    <w:p>
      <w:pPr>
        <w:spacing w:after="160" w:line="259" w:lineRule="auto"/>
        <w:rPr>
          <w:sz w:val="28"/>
          <w:szCs w:val="28"/>
        </w:rPr>
      </w:pPr>
    </w:p>
    <w:sectPr>
      <w:headerReference w:type="default" r:id="rId9"/>
      <w:footerReference w:type="default" r:id="rId10"/>
      <w:headerReference w:type="first" r:id="rId11"/>
      <w:pgSz w:w="11900" w:h="16840"/>
      <w:pgMar w:top="993" w:right="567" w:bottom="567" w:left="1701" w:header="697" w:footer="697" w:gutter="0"/>
      <w:pgNumType w:start="1"/>
      <w:cols w:space="720"/>
      <w:noEndnote/>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
        <w:separator/>
      </w:r>
    </w:p>
  </w:endnote>
  <w:endnote w:type="continuationSeparator" w:id="0">
    <w:p>
      <w:r>
        <w:continuationSeparator/>
      </w:r>
    </w:p>
  </w:endnote>
  <w:endnote w:type="continuationNotice" w:id="1">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oto Sans Symbols">
    <w:altName w:val="Times New Roman"/>
    <w:panose1 w:val="00000000000000000000"/>
    <w:charset w:val="00"/>
    <w:family w:val="auto"/>
    <w:notTrueType/>
    <w:pitch w:val="default"/>
    <w:sig w:usb0="00000003" w:usb1="00000000" w:usb2="00000000" w:usb3="00000000" w:csb0="00000001" w:csb1="00000000"/>
  </w:font>
  <w:font w:name="&quot;Times New Roman&quot;,serif">
    <w:panose1 w:val="00000000000000000000"/>
    <w:charset w:val="00"/>
    <w:family w:val="roman"/>
    <w:notTrueType/>
    <w:pitch w:val="default"/>
  </w:font>
  <w:font w:name="DejaVu Sans">
    <w:altName w:val="Times New Roman"/>
    <w:charset w:val="CC"/>
    <w:family w:val="swiss"/>
    <w:pitch w:val="variable"/>
    <w:sig w:usb0="E7002EFF" w:usb1="D200FDFF" w:usb2="0A24602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af1"/>
      <w:jc w:val="center"/>
    </w:pPr>
  </w:p>
  <w:p>
    <w:pPr>
      <w:pStyle w:val="af1"/>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
        <w:separator/>
      </w:r>
    </w:p>
  </w:footnote>
  <w:footnote w:type="continuationSeparator" w:id="0">
    <w:p>
      <w:r>
        <w:continuationSeparator/>
      </w:r>
    </w:p>
  </w:footnote>
  <w:footnote w:type="continuationNotice" w:id="1">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06124594"/>
      <w:docPartObj>
        <w:docPartGallery w:val="Page Numbers (Top of Page)"/>
        <w:docPartUnique/>
      </w:docPartObj>
    </w:sdtPr>
    <w:sdtContent>
      <w:p>
        <w:pPr>
          <w:pStyle w:val="a3"/>
          <w:jc w:val="center"/>
        </w:pPr>
        <w:r>
          <w:fldChar w:fldCharType="begin"/>
        </w:r>
        <w:r>
          <w:instrText>PAGE   \* MERGEFORMAT</w:instrText>
        </w:r>
        <w:r>
          <w:fldChar w:fldCharType="separate"/>
        </w:r>
        <w:r>
          <w:rPr>
            <w:noProof/>
            <w:lang w:val="ru-RU"/>
          </w:rPr>
          <w:t>11</w:t>
        </w:r>
        <w:r>
          <w:fldChar w:fldCharType="end"/>
        </w:r>
      </w:p>
    </w:sdtContent>
  </w:sdt>
  <w:p>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a3"/>
      <w:jc w:val="center"/>
    </w:pPr>
  </w:p>
  <w:p>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2431E2"/>
    <w:multiLevelType w:val="hybridMultilevel"/>
    <w:tmpl w:val="2F5E8B64"/>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 w15:restartNumberingAfterBreak="0">
    <w:nsid w:val="0BA61DDA"/>
    <w:multiLevelType w:val="hybridMultilevel"/>
    <w:tmpl w:val="CFD48512"/>
    <w:lvl w:ilvl="0" w:tplc="C060A9D0">
      <w:start w:val="2"/>
      <w:numFmt w:val="decimal"/>
      <w:lvlText w:val="%1."/>
      <w:lvlJc w:val="left"/>
      <w:pPr>
        <w:ind w:left="927"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 w15:restartNumberingAfterBreak="0">
    <w:nsid w:val="0F22FCC5"/>
    <w:multiLevelType w:val="hybridMultilevel"/>
    <w:tmpl w:val="F1840FEC"/>
    <w:lvl w:ilvl="0" w:tplc="25E291A8">
      <w:start w:val="1"/>
      <w:numFmt w:val="bullet"/>
      <w:lvlText w:val="-"/>
      <w:lvlJc w:val="left"/>
      <w:pPr>
        <w:ind w:left="927" w:hanging="360"/>
      </w:pPr>
      <w:rPr>
        <w:rFonts w:ascii="Aptos" w:hAnsi="Aptos" w:hint="default"/>
      </w:rPr>
    </w:lvl>
    <w:lvl w:ilvl="1" w:tplc="5B1A7C3C">
      <w:start w:val="1"/>
      <w:numFmt w:val="bullet"/>
      <w:lvlText w:val="o"/>
      <w:lvlJc w:val="left"/>
      <w:pPr>
        <w:ind w:left="1647" w:hanging="360"/>
      </w:pPr>
      <w:rPr>
        <w:rFonts w:ascii="Courier New" w:hAnsi="Courier New" w:hint="default"/>
      </w:rPr>
    </w:lvl>
    <w:lvl w:ilvl="2" w:tplc="6FC8B3E6">
      <w:start w:val="1"/>
      <w:numFmt w:val="bullet"/>
      <w:lvlText w:val=""/>
      <w:lvlJc w:val="left"/>
      <w:pPr>
        <w:ind w:left="2367" w:hanging="360"/>
      </w:pPr>
      <w:rPr>
        <w:rFonts w:ascii="Wingdings" w:hAnsi="Wingdings" w:hint="default"/>
      </w:rPr>
    </w:lvl>
    <w:lvl w:ilvl="3" w:tplc="09C87E1C">
      <w:start w:val="1"/>
      <w:numFmt w:val="bullet"/>
      <w:lvlText w:val=""/>
      <w:lvlJc w:val="left"/>
      <w:pPr>
        <w:ind w:left="3087" w:hanging="360"/>
      </w:pPr>
      <w:rPr>
        <w:rFonts w:ascii="Symbol" w:hAnsi="Symbol" w:hint="default"/>
      </w:rPr>
    </w:lvl>
    <w:lvl w:ilvl="4" w:tplc="7600484E">
      <w:start w:val="1"/>
      <w:numFmt w:val="bullet"/>
      <w:lvlText w:val="o"/>
      <w:lvlJc w:val="left"/>
      <w:pPr>
        <w:ind w:left="3807" w:hanging="360"/>
      </w:pPr>
      <w:rPr>
        <w:rFonts w:ascii="Courier New" w:hAnsi="Courier New" w:hint="default"/>
      </w:rPr>
    </w:lvl>
    <w:lvl w:ilvl="5" w:tplc="4DC4B1C8">
      <w:start w:val="1"/>
      <w:numFmt w:val="bullet"/>
      <w:lvlText w:val=""/>
      <w:lvlJc w:val="left"/>
      <w:pPr>
        <w:ind w:left="4527" w:hanging="360"/>
      </w:pPr>
      <w:rPr>
        <w:rFonts w:ascii="Wingdings" w:hAnsi="Wingdings" w:hint="default"/>
      </w:rPr>
    </w:lvl>
    <w:lvl w:ilvl="6" w:tplc="E6E6B516">
      <w:start w:val="1"/>
      <w:numFmt w:val="bullet"/>
      <w:lvlText w:val=""/>
      <w:lvlJc w:val="left"/>
      <w:pPr>
        <w:ind w:left="5247" w:hanging="360"/>
      </w:pPr>
      <w:rPr>
        <w:rFonts w:ascii="Symbol" w:hAnsi="Symbol" w:hint="default"/>
      </w:rPr>
    </w:lvl>
    <w:lvl w:ilvl="7" w:tplc="82E0471E">
      <w:start w:val="1"/>
      <w:numFmt w:val="bullet"/>
      <w:lvlText w:val="o"/>
      <w:lvlJc w:val="left"/>
      <w:pPr>
        <w:ind w:left="5967" w:hanging="360"/>
      </w:pPr>
      <w:rPr>
        <w:rFonts w:ascii="Courier New" w:hAnsi="Courier New" w:hint="default"/>
      </w:rPr>
    </w:lvl>
    <w:lvl w:ilvl="8" w:tplc="CE481F7E">
      <w:start w:val="1"/>
      <w:numFmt w:val="bullet"/>
      <w:lvlText w:val=""/>
      <w:lvlJc w:val="left"/>
      <w:pPr>
        <w:ind w:left="6687" w:hanging="360"/>
      </w:pPr>
      <w:rPr>
        <w:rFonts w:ascii="Wingdings" w:hAnsi="Wingdings" w:hint="default"/>
      </w:rPr>
    </w:lvl>
  </w:abstractNum>
  <w:abstractNum w:abstractNumId="3" w15:restartNumberingAfterBreak="0">
    <w:nsid w:val="18620A9E"/>
    <w:multiLevelType w:val="multilevel"/>
    <w:tmpl w:val="FFFFFFFF"/>
    <w:lvl w:ilvl="0">
      <w:start w:val="1"/>
      <w:numFmt w:val="decimal"/>
      <w:lvlText w:val="%1)"/>
      <w:lvlJc w:val="left"/>
      <w:pPr>
        <w:ind w:left="720" w:hanging="720"/>
      </w:pPr>
      <w:rPr>
        <w:rFonts w:ascii="Times New Roman" w:eastAsia="Times New Roman" w:hAnsi="Times New Roman" w:cs="Times New Roman"/>
        <w:b w:val="0"/>
        <w:i w:val="0"/>
        <w:smallCaps w:val="0"/>
        <w:strike w:val="0"/>
        <w:color w:val="000000"/>
        <w:sz w:val="20"/>
        <w:szCs w:val="20"/>
        <w:u w:val="none"/>
        <w:vertAlign w:val="baseline"/>
      </w:rPr>
    </w:lvl>
    <w:lvl w:ilvl="1">
      <w:start w:val="1"/>
      <w:numFmt w:val="bullet"/>
      <w:lvlText w:val="○"/>
      <w:lvlJc w:val="left"/>
      <w:pPr>
        <w:ind w:left="1440" w:hanging="1440"/>
      </w:pPr>
      <w:rPr>
        <w:rFonts w:ascii="Courier New" w:eastAsia="Times New Roman" w:hAnsi="Courier New"/>
        <w:b w:val="0"/>
        <w:i w:val="0"/>
        <w:smallCaps w:val="0"/>
        <w:strike w:val="0"/>
        <w:color w:val="000000"/>
        <w:sz w:val="20"/>
        <w:u w:val="none"/>
        <w:vertAlign w:val="baseline"/>
      </w:rPr>
    </w:lvl>
    <w:lvl w:ilvl="2">
      <w:start w:val="1"/>
      <w:numFmt w:val="bullet"/>
      <w:lvlText w:val="▪"/>
      <w:lvlJc w:val="left"/>
      <w:pPr>
        <w:ind w:left="2160" w:hanging="2160"/>
      </w:pPr>
      <w:rPr>
        <w:rFonts w:ascii="Noto Sans Symbols" w:eastAsia="Times New Roman" w:hAnsi="Noto Sans Symbols"/>
        <w:b w:val="0"/>
        <w:i w:val="0"/>
        <w:smallCaps w:val="0"/>
        <w:strike w:val="0"/>
        <w:color w:val="000000"/>
        <w:sz w:val="20"/>
        <w:u w:val="none"/>
        <w:vertAlign w:val="baseline"/>
      </w:rPr>
    </w:lvl>
    <w:lvl w:ilvl="3">
      <w:start w:val="1"/>
      <w:numFmt w:val="bullet"/>
      <w:lvlText w:val="●"/>
      <w:lvlJc w:val="left"/>
      <w:pPr>
        <w:ind w:left="2880" w:hanging="2880"/>
      </w:pPr>
      <w:rPr>
        <w:rFonts w:ascii="Noto Sans Symbols" w:eastAsia="Times New Roman" w:hAnsi="Noto Sans Symbols"/>
        <w:b w:val="0"/>
        <w:i w:val="0"/>
        <w:smallCaps w:val="0"/>
        <w:strike w:val="0"/>
        <w:color w:val="000000"/>
        <w:sz w:val="20"/>
        <w:u w:val="none"/>
        <w:vertAlign w:val="baseline"/>
      </w:rPr>
    </w:lvl>
    <w:lvl w:ilvl="4">
      <w:start w:val="1"/>
      <w:numFmt w:val="bullet"/>
      <w:lvlText w:val="○"/>
      <w:lvlJc w:val="left"/>
      <w:pPr>
        <w:ind w:left="3600" w:hanging="3600"/>
      </w:pPr>
      <w:rPr>
        <w:rFonts w:ascii="Courier New" w:eastAsia="Times New Roman" w:hAnsi="Courier New"/>
        <w:b w:val="0"/>
        <w:i w:val="0"/>
        <w:smallCaps w:val="0"/>
        <w:strike w:val="0"/>
        <w:color w:val="000000"/>
        <w:sz w:val="20"/>
        <w:u w:val="none"/>
        <w:vertAlign w:val="baseline"/>
      </w:rPr>
    </w:lvl>
    <w:lvl w:ilvl="5">
      <w:start w:val="1"/>
      <w:numFmt w:val="bullet"/>
      <w:lvlText w:val="▪"/>
      <w:lvlJc w:val="left"/>
      <w:pPr>
        <w:ind w:left="4320" w:hanging="4320"/>
      </w:pPr>
      <w:rPr>
        <w:rFonts w:ascii="Noto Sans Symbols" w:eastAsia="Times New Roman" w:hAnsi="Noto Sans Symbols"/>
        <w:b w:val="0"/>
        <w:i w:val="0"/>
        <w:smallCaps w:val="0"/>
        <w:strike w:val="0"/>
        <w:color w:val="000000"/>
        <w:sz w:val="20"/>
        <w:u w:val="none"/>
        <w:vertAlign w:val="baseline"/>
      </w:rPr>
    </w:lvl>
    <w:lvl w:ilvl="6">
      <w:start w:val="1"/>
      <w:numFmt w:val="bullet"/>
      <w:lvlText w:val="●"/>
      <w:lvlJc w:val="left"/>
      <w:pPr>
        <w:ind w:left="5040" w:hanging="5040"/>
      </w:pPr>
      <w:rPr>
        <w:rFonts w:ascii="Noto Sans Symbols" w:eastAsia="Times New Roman" w:hAnsi="Noto Sans Symbols"/>
        <w:b w:val="0"/>
        <w:i w:val="0"/>
        <w:smallCaps w:val="0"/>
        <w:strike w:val="0"/>
        <w:color w:val="000000"/>
        <w:sz w:val="20"/>
        <w:u w:val="none"/>
        <w:vertAlign w:val="baseline"/>
      </w:rPr>
    </w:lvl>
    <w:lvl w:ilvl="7">
      <w:start w:val="1"/>
      <w:numFmt w:val="bullet"/>
      <w:lvlText w:val="○"/>
      <w:lvlJc w:val="left"/>
      <w:pPr>
        <w:ind w:left="5760" w:hanging="5760"/>
      </w:pPr>
      <w:rPr>
        <w:rFonts w:ascii="Courier New" w:eastAsia="Times New Roman" w:hAnsi="Courier New"/>
        <w:b w:val="0"/>
        <w:i w:val="0"/>
        <w:smallCaps w:val="0"/>
        <w:strike w:val="0"/>
        <w:color w:val="000000"/>
        <w:sz w:val="20"/>
        <w:u w:val="none"/>
        <w:vertAlign w:val="baseline"/>
      </w:rPr>
    </w:lvl>
    <w:lvl w:ilvl="8">
      <w:start w:val="1"/>
      <w:numFmt w:val="bullet"/>
      <w:lvlText w:val="▪"/>
      <w:lvlJc w:val="left"/>
      <w:pPr>
        <w:ind w:left="6480" w:hanging="6480"/>
      </w:pPr>
      <w:rPr>
        <w:rFonts w:ascii="Noto Sans Symbols" w:eastAsia="Times New Roman" w:hAnsi="Noto Sans Symbols"/>
        <w:b w:val="0"/>
        <w:i w:val="0"/>
        <w:smallCaps w:val="0"/>
        <w:strike w:val="0"/>
        <w:color w:val="000000"/>
        <w:sz w:val="20"/>
        <w:u w:val="none"/>
        <w:vertAlign w:val="baseline"/>
      </w:rPr>
    </w:lvl>
  </w:abstractNum>
  <w:abstractNum w:abstractNumId="4" w15:restartNumberingAfterBreak="0">
    <w:nsid w:val="19A92E7F"/>
    <w:multiLevelType w:val="hybridMultilevel"/>
    <w:tmpl w:val="624A2FA0"/>
    <w:lvl w:ilvl="0" w:tplc="3D543BAA">
      <w:start w:val="1"/>
      <w:numFmt w:val="decimal"/>
      <w:lvlText w:val="%1."/>
      <w:lvlJc w:val="left"/>
      <w:pPr>
        <w:ind w:left="927" w:hanging="360"/>
      </w:pPr>
      <w:rPr>
        <w:rFonts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5" w15:restartNumberingAfterBreak="0">
    <w:nsid w:val="1E9C0AD3"/>
    <w:multiLevelType w:val="hybridMultilevel"/>
    <w:tmpl w:val="1CF42502"/>
    <w:lvl w:ilvl="0" w:tplc="04190005">
      <w:start w:val="1"/>
      <w:numFmt w:val="bullet"/>
      <w:lvlText w:val=""/>
      <w:lvlJc w:val="left"/>
      <w:pPr>
        <w:ind w:left="927" w:hanging="360"/>
      </w:pPr>
      <w:rPr>
        <w:rFonts w:ascii="Wingdings" w:hAnsi="Wingdings" w:hint="default"/>
      </w:rPr>
    </w:lvl>
    <w:lvl w:ilvl="1" w:tplc="FFFFFFFF" w:tentative="1">
      <w:start w:val="1"/>
      <w:numFmt w:val="bullet"/>
      <w:lvlText w:val="o"/>
      <w:lvlJc w:val="left"/>
      <w:pPr>
        <w:ind w:left="1647" w:hanging="360"/>
      </w:pPr>
      <w:rPr>
        <w:rFonts w:ascii="Courier New" w:hAnsi="Courier New" w:cs="Courier New" w:hint="default"/>
      </w:rPr>
    </w:lvl>
    <w:lvl w:ilvl="2" w:tplc="FFFFFFFF" w:tentative="1">
      <w:start w:val="1"/>
      <w:numFmt w:val="bullet"/>
      <w:lvlText w:val=""/>
      <w:lvlJc w:val="left"/>
      <w:pPr>
        <w:ind w:left="2367" w:hanging="360"/>
      </w:pPr>
      <w:rPr>
        <w:rFonts w:ascii="Wingdings" w:hAnsi="Wingdings" w:hint="default"/>
      </w:rPr>
    </w:lvl>
    <w:lvl w:ilvl="3" w:tplc="FFFFFFFF" w:tentative="1">
      <w:start w:val="1"/>
      <w:numFmt w:val="bullet"/>
      <w:lvlText w:val=""/>
      <w:lvlJc w:val="left"/>
      <w:pPr>
        <w:ind w:left="3087" w:hanging="360"/>
      </w:pPr>
      <w:rPr>
        <w:rFonts w:ascii="Symbol" w:hAnsi="Symbol" w:hint="default"/>
      </w:rPr>
    </w:lvl>
    <w:lvl w:ilvl="4" w:tplc="FFFFFFFF" w:tentative="1">
      <w:start w:val="1"/>
      <w:numFmt w:val="bullet"/>
      <w:lvlText w:val="o"/>
      <w:lvlJc w:val="left"/>
      <w:pPr>
        <w:ind w:left="3807" w:hanging="360"/>
      </w:pPr>
      <w:rPr>
        <w:rFonts w:ascii="Courier New" w:hAnsi="Courier New" w:cs="Courier New" w:hint="default"/>
      </w:rPr>
    </w:lvl>
    <w:lvl w:ilvl="5" w:tplc="FFFFFFFF" w:tentative="1">
      <w:start w:val="1"/>
      <w:numFmt w:val="bullet"/>
      <w:lvlText w:val=""/>
      <w:lvlJc w:val="left"/>
      <w:pPr>
        <w:ind w:left="4527" w:hanging="360"/>
      </w:pPr>
      <w:rPr>
        <w:rFonts w:ascii="Wingdings" w:hAnsi="Wingdings" w:hint="default"/>
      </w:rPr>
    </w:lvl>
    <w:lvl w:ilvl="6" w:tplc="FFFFFFFF" w:tentative="1">
      <w:start w:val="1"/>
      <w:numFmt w:val="bullet"/>
      <w:lvlText w:val=""/>
      <w:lvlJc w:val="left"/>
      <w:pPr>
        <w:ind w:left="5247" w:hanging="360"/>
      </w:pPr>
      <w:rPr>
        <w:rFonts w:ascii="Symbol" w:hAnsi="Symbol" w:hint="default"/>
      </w:rPr>
    </w:lvl>
    <w:lvl w:ilvl="7" w:tplc="FFFFFFFF" w:tentative="1">
      <w:start w:val="1"/>
      <w:numFmt w:val="bullet"/>
      <w:lvlText w:val="o"/>
      <w:lvlJc w:val="left"/>
      <w:pPr>
        <w:ind w:left="5967" w:hanging="360"/>
      </w:pPr>
      <w:rPr>
        <w:rFonts w:ascii="Courier New" w:hAnsi="Courier New" w:cs="Courier New" w:hint="default"/>
      </w:rPr>
    </w:lvl>
    <w:lvl w:ilvl="8" w:tplc="FFFFFFFF" w:tentative="1">
      <w:start w:val="1"/>
      <w:numFmt w:val="bullet"/>
      <w:lvlText w:val=""/>
      <w:lvlJc w:val="left"/>
      <w:pPr>
        <w:ind w:left="6687" w:hanging="360"/>
      </w:pPr>
      <w:rPr>
        <w:rFonts w:ascii="Wingdings" w:hAnsi="Wingdings" w:hint="default"/>
      </w:rPr>
    </w:lvl>
  </w:abstractNum>
  <w:abstractNum w:abstractNumId="6" w15:restartNumberingAfterBreak="0">
    <w:nsid w:val="1FE86B17"/>
    <w:multiLevelType w:val="hybridMultilevel"/>
    <w:tmpl w:val="67DCF924"/>
    <w:lvl w:ilvl="0" w:tplc="67A80F50">
      <w:start w:val="1"/>
      <w:numFmt w:val="decimal"/>
      <w:lvlText w:val="%1."/>
      <w:lvlJc w:val="left"/>
      <w:pPr>
        <w:ind w:left="720" w:hanging="360"/>
      </w:pPr>
    </w:lvl>
    <w:lvl w:ilvl="1" w:tplc="C6F0999A">
      <w:start w:val="1"/>
      <w:numFmt w:val="lowerLetter"/>
      <w:lvlText w:val="%2."/>
      <w:lvlJc w:val="left"/>
      <w:pPr>
        <w:ind w:left="1647" w:hanging="360"/>
      </w:pPr>
    </w:lvl>
    <w:lvl w:ilvl="2" w:tplc="597C43EA">
      <w:start w:val="1"/>
      <w:numFmt w:val="lowerRoman"/>
      <w:lvlText w:val="%3."/>
      <w:lvlJc w:val="right"/>
      <w:pPr>
        <w:ind w:left="2367" w:hanging="180"/>
      </w:pPr>
    </w:lvl>
    <w:lvl w:ilvl="3" w:tplc="F5264C80">
      <w:start w:val="1"/>
      <w:numFmt w:val="decimal"/>
      <w:lvlText w:val="%4."/>
      <w:lvlJc w:val="left"/>
      <w:pPr>
        <w:ind w:left="3087" w:hanging="360"/>
      </w:pPr>
    </w:lvl>
    <w:lvl w:ilvl="4" w:tplc="48381038">
      <w:start w:val="1"/>
      <w:numFmt w:val="lowerLetter"/>
      <w:lvlText w:val="%5."/>
      <w:lvlJc w:val="left"/>
      <w:pPr>
        <w:ind w:left="3807" w:hanging="360"/>
      </w:pPr>
    </w:lvl>
    <w:lvl w:ilvl="5" w:tplc="770A4A94">
      <w:start w:val="1"/>
      <w:numFmt w:val="lowerRoman"/>
      <w:lvlText w:val="%6."/>
      <w:lvlJc w:val="right"/>
      <w:pPr>
        <w:ind w:left="4527" w:hanging="180"/>
      </w:pPr>
    </w:lvl>
    <w:lvl w:ilvl="6" w:tplc="6F16043C">
      <w:start w:val="1"/>
      <w:numFmt w:val="decimal"/>
      <w:lvlText w:val="%7."/>
      <w:lvlJc w:val="left"/>
      <w:pPr>
        <w:ind w:left="5247" w:hanging="360"/>
      </w:pPr>
    </w:lvl>
    <w:lvl w:ilvl="7" w:tplc="B75259A4">
      <w:start w:val="1"/>
      <w:numFmt w:val="lowerLetter"/>
      <w:lvlText w:val="%8."/>
      <w:lvlJc w:val="left"/>
      <w:pPr>
        <w:ind w:left="5967" w:hanging="360"/>
      </w:pPr>
    </w:lvl>
    <w:lvl w:ilvl="8" w:tplc="74569F82">
      <w:start w:val="1"/>
      <w:numFmt w:val="lowerRoman"/>
      <w:lvlText w:val="%9."/>
      <w:lvlJc w:val="right"/>
      <w:pPr>
        <w:ind w:left="6687" w:hanging="180"/>
      </w:pPr>
    </w:lvl>
  </w:abstractNum>
  <w:abstractNum w:abstractNumId="7" w15:restartNumberingAfterBreak="0">
    <w:nsid w:val="23E07232"/>
    <w:multiLevelType w:val="hybridMultilevel"/>
    <w:tmpl w:val="DAEAFCDA"/>
    <w:lvl w:ilvl="0" w:tplc="FFFFFFFF">
      <w:start w:val="1"/>
      <w:numFmt w:val="decimal"/>
      <w:lvlText w:val="%1."/>
      <w:lvlJc w:val="left"/>
      <w:pPr>
        <w:ind w:left="927" w:hanging="360"/>
      </w:pPr>
      <w:rPr>
        <w:b/>
        <w:bCs/>
        <w:i/>
        <w:iCs w:val="0"/>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8" w15:restartNumberingAfterBreak="0">
    <w:nsid w:val="26C88EC8"/>
    <w:multiLevelType w:val="hybridMultilevel"/>
    <w:tmpl w:val="D07EEBA6"/>
    <w:lvl w:ilvl="0" w:tplc="BF62B71E">
      <w:start w:val="1"/>
      <w:numFmt w:val="bullet"/>
      <w:lvlText w:val="-"/>
      <w:lvlJc w:val="left"/>
      <w:pPr>
        <w:ind w:left="720" w:hanging="360"/>
      </w:pPr>
      <w:rPr>
        <w:rFonts w:ascii="&quot;Times New Roman&quot;,serif" w:hAnsi="&quot;Times New Roman&quot;,serif" w:hint="default"/>
      </w:rPr>
    </w:lvl>
    <w:lvl w:ilvl="1" w:tplc="6DC0CCFE">
      <w:start w:val="1"/>
      <w:numFmt w:val="bullet"/>
      <w:lvlText w:val="o"/>
      <w:lvlJc w:val="left"/>
      <w:pPr>
        <w:ind w:left="1440" w:hanging="360"/>
      </w:pPr>
      <w:rPr>
        <w:rFonts w:ascii="Courier New" w:hAnsi="Courier New" w:hint="default"/>
      </w:rPr>
    </w:lvl>
    <w:lvl w:ilvl="2" w:tplc="E564CFD6">
      <w:start w:val="1"/>
      <w:numFmt w:val="bullet"/>
      <w:lvlText w:val=""/>
      <w:lvlJc w:val="left"/>
      <w:pPr>
        <w:ind w:left="2160" w:hanging="360"/>
      </w:pPr>
      <w:rPr>
        <w:rFonts w:ascii="Wingdings" w:hAnsi="Wingdings" w:hint="default"/>
      </w:rPr>
    </w:lvl>
    <w:lvl w:ilvl="3" w:tplc="F62C999C">
      <w:start w:val="1"/>
      <w:numFmt w:val="bullet"/>
      <w:lvlText w:val=""/>
      <w:lvlJc w:val="left"/>
      <w:pPr>
        <w:ind w:left="2880" w:hanging="360"/>
      </w:pPr>
      <w:rPr>
        <w:rFonts w:ascii="Symbol" w:hAnsi="Symbol" w:hint="default"/>
      </w:rPr>
    </w:lvl>
    <w:lvl w:ilvl="4" w:tplc="A5842A3C">
      <w:start w:val="1"/>
      <w:numFmt w:val="bullet"/>
      <w:lvlText w:val="o"/>
      <w:lvlJc w:val="left"/>
      <w:pPr>
        <w:ind w:left="3600" w:hanging="360"/>
      </w:pPr>
      <w:rPr>
        <w:rFonts w:ascii="Courier New" w:hAnsi="Courier New" w:hint="default"/>
      </w:rPr>
    </w:lvl>
    <w:lvl w:ilvl="5" w:tplc="A3A8FD64">
      <w:start w:val="1"/>
      <w:numFmt w:val="bullet"/>
      <w:lvlText w:val=""/>
      <w:lvlJc w:val="left"/>
      <w:pPr>
        <w:ind w:left="4320" w:hanging="360"/>
      </w:pPr>
      <w:rPr>
        <w:rFonts w:ascii="Wingdings" w:hAnsi="Wingdings" w:hint="default"/>
      </w:rPr>
    </w:lvl>
    <w:lvl w:ilvl="6" w:tplc="8C9CCCA0">
      <w:start w:val="1"/>
      <w:numFmt w:val="bullet"/>
      <w:lvlText w:val=""/>
      <w:lvlJc w:val="left"/>
      <w:pPr>
        <w:ind w:left="5040" w:hanging="360"/>
      </w:pPr>
      <w:rPr>
        <w:rFonts w:ascii="Symbol" w:hAnsi="Symbol" w:hint="default"/>
      </w:rPr>
    </w:lvl>
    <w:lvl w:ilvl="7" w:tplc="A06E48B4">
      <w:start w:val="1"/>
      <w:numFmt w:val="bullet"/>
      <w:lvlText w:val="o"/>
      <w:lvlJc w:val="left"/>
      <w:pPr>
        <w:ind w:left="5760" w:hanging="360"/>
      </w:pPr>
      <w:rPr>
        <w:rFonts w:ascii="Courier New" w:hAnsi="Courier New" w:hint="default"/>
      </w:rPr>
    </w:lvl>
    <w:lvl w:ilvl="8" w:tplc="6DD89898">
      <w:start w:val="1"/>
      <w:numFmt w:val="bullet"/>
      <w:lvlText w:val=""/>
      <w:lvlJc w:val="left"/>
      <w:pPr>
        <w:ind w:left="6480" w:hanging="360"/>
      </w:pPr>
      <w:rPr>
        <w:rFonts w:ascii="Wingdings" w:hAnsi="Wingdings" w:hint="default"/>
      </w:rPr>
    </w:lvl>
  </w:abstractNum>
  <w:abstractNum w:abstractNumId="9" w15:restartNumberingAfterBreak="0">
    <w:nsid w:val="27262394"/>
    <w:multiLevelType w:val="hybridMultilevel"/>
    <w:tmpl w:val="6846B11A"/>
    <w:lvl w:ilvl="0" w:tplc="461AEAEE">
      <w:start w:val="1"/>
      <w:numFmt w:val="upperRoman"/>
      <w:lvlText w:val="%1."/>
      <w:lvlJc w:val="left"/>
      <w:pPr>
        <w:ind w:left="1288" w:hanging="72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0" w15:restartNumberingAfterBreak="0">
    <w:nsid w:val="2D0F5583"/>
    <w:multiLevelType w:val="hybridMultilevel"/>
    <w:tmpl w:val="6A0A674C"/>
    <w:lvl w:ilvl="0" w:tplc="3CBA3774">
      <w:start w:val="1"/>
      <w:numFmt w:val="bullet"/>
      <w:lvlText w:val="-"/>
      <w:lvlJc w:val="left"/>
      <w:pPr>
        <w:ind w:left="720" w:hanging="360"/>
      </w:pPr>
      <w:rPr>
        <w:rFonts w:ascii="Aptos" w:hAnsi="Aptos" w:hint="default"/>
      </w:rPr>
    </w:lvl>
    <w:lvl w:ilvl="1" w:tplc="E38894FE">
      <w:start w:val="1"/>
      <w:numFmt w:val="bullet"/>
      <w:lvlText w:val="o"/>
      <w:lvlJc w:val="left"/>
      <w:pPr>
        <w:ind w:left="1440" w:hanging="360"/>
      </w:pPr>
      <w:rPr>
        <w:rFonts w:ascii="Courier New" w:hAnsi="Courier New" w:hint="default"/>
      </w:rPr>
    </w:lvl>
    <w:lvl w:ilvl="2" w:tplc="59AC8514">
      <w:start w:val="1"/>
      <w:numFmt w:val="bullet"/>
      <w:lvlText w:val=""/>
      <w:lvlJc w:val="left"/>
      <w:pPr>
        <w:ind w:left="2160" w:hanging="360"/>
      </w:pPr>
      <w:rPr>
        <w:rFonts w:ascii="Wingdings" w:hAnsi="Wingdings" w:hint="default"/>
      </w:rPr>
    </w:lvl>
    <w:lvl w:ilvl="3" w:tplc="B48CEE3E">
      <w:start w:val="1"/>
      <w:numFmt w:val="bullet"/>
      <w:lvlText w:val=""/>
      <w:lvlJc w:val="left"/>
      <w:pPr>
        <w:ind w:left="2880" w:hanging="360"/>
      </w:pPr>
      <w:rPr>
        <w:rFonts w:ascii="Symbol" w:hAnsi="Symbol" w:hint="default"/>
      </w:rPr>
    </w:lvl>
    <w:lvl w:ilvl="4" w:tplc="430A3A54">
      <w:start w:val="1"/>
      <w:numFmt w:val="bullet"/>
      <w:lvlText w:val="o"/>
      <w:lvlJc w:val="left"/>
      <w:pPr>
        <w:ind w:left="3600" w:hanging="360"/>
      </w:pPr>
      <w:rPr>
        <w:rFonts w:ascii="Courier New" w:hAnsi="Courier New" w:hint="default"/>
      </w:rPr>
    </w:lvl>
    <w:lvl w:ilvl="5" w:tplc="35184A08">
      <w:start w:val="1"/>
      <w:numFmt w:val="bullet"/>
      <w:lvlText w:val=""/>
      <w:lvlJc w:val="left"/>
      <w:pPr>
        <w:ind w:left="4320" w:hanging="360"/>
      </w:pPr>
      <w:rPr>
        <w:rFonts w:ascii="Wingdings" w:hAnsi="Wingdings" w:hint="default"/>
      </w:rPr>
    </w:lvl>
    <w:lvl w:ilvl="6" w:tplc="8EFCFE4E">
      <w:start w:val="1"/>
      <w:numFmt w:val="bullet"/>
      <w:lvlText w:val=""/>
      <w:lvlJc w:val="left"/>
      <w:pPr>
        <w:ind w:left="5040" w:hanging="360"/>
      </w:pPr>
      <w:rPr>
        <w:rFonts w:ascii="Symbol" w:hAnsi="Symbol" w:hint="default"/>
      </w:rPr>
    </w:lvl>
    <w:lvl w:ilvl="7" w:tplc="A8322262">
      <w:start w:val="1"/>
      <w:numFmt w:val="bullet"/>
      <w:lvlText w:val="o"/>
      <w:lvlJc w:val="left"/>
      <w:pPr>
        <w:ind w:left="5760" w:hanging="360"/>
      </w:pPr>
      <w:rPr>
        <w:rFonts w:ascii="Courier New" w:hAnsi="Courier New" w:hint="default"/>
      </w:rPr>
    </w:lvl>
    <w:lvl w:ilvl="8" w:tplc="888871CA">
      <w:start w:val="1"/>
      <w:numFmt w:val="bullet"/>
      <w:lvlText w:val=""/>
      <w:lvlJc w:val="left"/>
      <w:pPr>
        <w:ind w:left="6480" w:hanging="360"/>
      </w:pPr>
      <w:rPr>
        <w:rFonts w:ascii="Wingdings" w:hAnsi="Wingdings" w:hint="default"/>
      </w:rPr>
    </w:lvl>
  </w:abstractNum>
  <w:abstractNum w:abstractNumId="11" w15:restartNumberingAfterBreak="0">
    <w:nsid w:val="2D29627B"/>
    <w:multiLevelType w:val="hybridMultilevel"/>
    <w:tmpl w:val="27F64BC0"/>
    <w:lvl w:ilvl="0" w:tplc="999CA54A">
      <w:start w:val="1"/>
      <w:numFmt w:val="decimal"/>
      <w:lvlText w:val="%1."/>
      <w:lvlJc w:val="left"/>
      <w:pPr>
        <w:ind w:left="927" w:hanging="360"/>
      </w:pPr>
    </w:lvl>
    <w:lvl w:ilvl="1" w:tplc="AEB84C4C">
      <w:start w:val="1"/>
      <w:numFmt w:val="lowerLetter"/>
      <w:lvlText w:val="%2."/>
      <w:lvlJc w:val="left"/>
      <w:pPr>
        <w:ind w:left="1647" w:hanging="360"/>
      </w:pPr>
    </w:lvl>
    <w:lvl w:ilvl="2" w:tplc="6674C7BE">
      <w:start w:val="1"/>
      <w:numFmt w:val="lowerRoman"/>
      <w:lvlText w:val="%3."/>
      <w:lvlJc w:val="right"/>
      <w:pPr>
        <w:ind w:left="2367" w:hanging="180"/>
      </w:pPr>
    </w:lvl>
    <w:lvl w:ilvl="3" w:tplc="46CC61F2">
      <w:start w:val="1"/>
      <w:numFmt w:val="decimal"/>
      <w:lvlText w:val="%4."/>
      <w:lvlJc w:val="left"/>
      <w:pPr>
        <w:ind w:left="3087" w:hanging="360"/>
      </w:pPr>
    </w:lvl>
    <w:lvl w:ilvl="4" w:tplc="0A547796">
      <w:start w:val="1"/>
      <w:numFmt w:val="lowerLetter"/>
      <w:lvlText w:val="%5."/>
      <w:lvlJc w:val="left"/>
      <w:pPr>
        <w:ind w:left="3807" w:hanging="360"/>
      </w:pPr>
    </w:lvl>
    <w:lvl w:ilvl="5" w:tplc="13A4D884">
      <w:start w:val="1"/>
      <w:numFmt w:val="lowerRoman"/>
      <w:lvlText w:val="%6."/>
      <w:lvlJc w:val="right"/>
      <w:pPr>
        <w:ind w:left="4527" w:hanging="180"/>
      </w:pPr>
    </w:lvl>
    <w:lvl w:ilvl="6" w:tplc="CD7A8134">
      <w:start w:val="1"/>
      <w:numFmt w:val="decimal"/>
      <w:lvlText w:val="%7."/>
      <w:lvlJc w:val="left"/>
      <w:pPr>
        <w:ind w:left="5247" w:hanging="360"/>
      </w:pPr>
    </w:lvl>
    <w:lvl w:ilvl="7" w:tplc="3DFE8660">
      <w:start w:val="1"/>
      <w:numFmt w:val="lowerLetter"/>
      <w:lvlText w:val="%8."/>
      <w:lvlJc w:val="left"/>
      <w:pPr>
        <w:ind w:left="5967" w:hanging="360"/>
      </w:pPr>
    </w:lvl>
    <w:lvl w:ilvl="8" w:tplc="A242658E">
      <w:start w:val="1"/>
      <w:numFmt w:val="lowerRoman"/>
      <w:lvlText w:val="%9."/>
      <w:lvlJc w:val="right"/>
      <w:pPr>
        <w:ind w:left="6687" w:hanging="180"/>
      </w:pPr>
    </w:lvl>
  </w:abstractNum>
  <w:abstractNum w:abstractNumId="12" w15:restartNumberingAfterBreak="0">
    <w:nsid w:val="2F98F9A8"/>
    <w:multiLevelType w:val="hybridMultilevel"/>
    <w:tmpl w:val="829E8DD2"/>
    <w:lvl w:ilvl="0" w:tplc="1E200DD8">
      <w:start w:val="1"/>
      <w:numFmt w:val="bullet"/>
      <w:lvlText w:val="-"/>
      <w:lvlJc w:val="left"/>
      <w:pPr>
        <w:ind w:left="720" w:hanging="360"/>
      </w:pPr>
      <w:rPr>
        <w:rFonts w:ascii="Aptos" w:hAnsi="Aptos" w:hint="default"/>
      </w:rPr>
    </w:lvl>
    <w:lvl w:ilvl="1" w:tplc="8B7EC408">
      <w:start w:val="1"/>
      <w:numFmt w:val="bullet"/>
      <w:lvlText w:val="o"/>
      <w:lvlJc w:val="left"/>
      <w:pPr>
        <w:ind w:left="1440" w:hanging="360"/>
      </w:pPr>
      <w:rPr>
        <w:rFonts w:ascii="Courier New" w:hAnsi="Courier New" w:hint="default"/>
      </w:rPr>
    </w:lvl>
    <w:lvl w:ilvl="2" w:tplc="0EC89558">
      <w:start w:val="1"/>
      <w:numFmt w:val="bullet"/>
      <w:lvlText w:val=""/>
      <w:lvlJc w:val="left"/>
      <w:pPr>
        <w:ind w:left="2160" w:hanging="360"/>
      </w:pPr>
      <w:rPr>
        <w:rFonts w:ascii="Wingdings" w:hAnsi="Wingdings" w:hint="default"/>
      </w:rPr>
    </w:lvl>
    <w:lvl w:ilvl="3" w:tplc="D42E7DAC">
      <w:start w:val="1"/>
      <w:numFmt w:val="bullet"/>
      <w:lvlText w:val=""/>
      <w:lvlJc w:val="left"/>
      <w:pPr>
        <w:ind w:left="2880" w:hanging="360"/>
      </w:pPr>
      <w:rPr>
        <w:rFonts w:ascii="Symbol" w:hAnsi="Symbol" w:hint="default"/>
      </w:rPr>
    </w:lvl>
    <w:lvl w:ilvl="4" w:tplc="8E40CFBC">
      <w:start w:val="1"/>
      <w:numFmt w:val="bullet"/>
      <w:lvlText w:val="o"/>
      <w:lvlJc w:val="left"/>
      <w:pPr>
        <w:ind w:left="3600" w:hanging="360"/>
      </w:pPr>
      <w:rPr>
        <w:rFonts w:ascii="Courier New" w:hAnsi="Courier New" w:hint="default"/>
      </w:rPr>
    </w:lvl>
    <w:lvl w:ilvl="5" w:tplc="1B329FA6">
      <w:start w:val="1"/>
      <w:numFmt w:val="bullet"/>
      <w:lvlText w:val=""/>
      <w:lvlJc w:val="left"/>
      <w:pPr>
        <w:ind w:left="4320" w:hanging="360"/>
      </w:pPr>
      <w:rPr>
        <w:rFonts w:ascii="Wingdings" w:hAnsi="Wingdings" w:hint="default"/>
      </w:rPr>
    </w:lvl>
    <w:lvl w:ilvl="6" w:tplc="0F6260F6">
      <w:start w:val="1"/>
      <w:numFmt w:val="bullet"/>
      <w:lvlText w:val=""/>
      <w:lvlJc w:val="left"/>
      <w:pPr>
        <w:ind w:left="5040" w:hanging="360"/>
      </w:pPr>
      <w:rPr>
        <w:rFonts w:ascii="Symbol" w:hAnsi="Symbol" w:hint="default"/>
      </w:rPr>
    </w:lvl>
    <w:lvl w:ilvl="7" w:tplc="12301B54">
      <w:start w:val="1"/>
      <w:numFmt w:val="bullet"/>
      <w:lvlText w:val="o"/>
      <w:lvlJc w:val="left"/>
      <w:pPr>
        <w:ind w:left="5760" w:hanging="360"/>
      </w:pPr>
      <w:rPr>
        <w:rFonts w:ascii="Courier New" w:hAnsi="Courier New" w:hint="default"/>
      </w:rPr>
    </w:lvl>
    <w:lvl w:ilvl="8" w:tplc="D01AEB76">
      <w:start w:val="1"/>
      <w:numFmt w:val="bullet"/>
      <w:lvlText w:val=""/>
      <w:lvlJc w:val="left"/>
      <w:pPr>
        <w:ind w:left="6480" w:hanging="360"/>
      </w:pPr>
      <w:rPr>
        <w:rFonts w:ascii="Wingdings" w:hAnsi="Wingdings" w:hint="default"/>
      </w:rPr>
    </w:lvl>
  </w:abstractNum>
  <w:abstractNum w:abstractNumId="13" w15:restartNumberingAfterBreak="0">
    <w:nsid w:val="335C0562"/>
    <w:multiLevelType w:val="hybridMultilevel"/>
    <w:tmpl w:val="746CBCF2"/>
    <w:lvl w:ilvl="0" w:tplc="0FB887CE">
      <w:start w:val="3"/>
      <w:numFmt w:val="bullet"/>
      <w:lvlText w:val="-"/>
      <w:lvlJc w:val="left"/>
      <w:pPr>
        <w:ind w:left="927" w:hanging="360"/>
      </w:pPr>
      <w:rPr>
        <w:rFonts w:ascii="DejaVu Sans" w:eastAsia="DejaVu Sans" w:hAnsi="DejaVu Sans" w:cs="DejaVu Sans"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14" w15:restartNumberingAfterBreak="0">
    <w:nsid w:val="341471E1"/>
    <w:multiLevelType w:val="hybridMultilevel"/>
    <w:tmpl w:val="A8BA8F18"/>
    <w:lvl w:ilvl="0" w:tplc="107A8F1E">
      <w:start w:val="1"/>
      <w:numFmt w:val="bullet"/>
      <w:lvlText w:val="-"/>
      <w:lvlJc w:val="left"/>
      <w:pPr>
        <w:ind w:left="720" w:hanging="360"/>
      </w:pPr>
      <w:rPr>
        <w:rFonts w:ascii="Aptos" w:hAnsi="Aptos" w:hint="default"/>
      </w:rPr>
    </w:lvl>
    <w:lvl w:ilvl="1" w:tplc="1820FCB8">
      <w:start w:val="1"/>
      <w:numFmt w:val="bullet"/>
      <w:lvlText w:val="o"/>
      <w:lvlJc w:val="left"/>
      <w:pPr>
        <w:ind w:left="1440" w:hanging="360"/>
      </w:pPr>
      <w:rPr>
        <w:rFonts w:ascii="Courier New" w:hAnsi="Courier New" w:hint="default"/>
      </w:rPr>
    </w:lvl>
    <w:lvl w:ilvl="2" w:tplc="A15A7B4C">
      <w:start w:val="1"/>
      <w:numFmt w:val="bullet"/>
      <w:lvlText w:val=""/>
      <w:lvlJc w:val="left"/>
      <w:pPr>
        <w:ind w:left="2160" w:hanging="360"/>
      </w:pPr>
      <w:rPr>
        <w:rFonts w:ascii="Wingdings" w:hAnsi="Wingdings" w:hint="default"/>
      </w:rPr>
    </w:lvl>
    <w:lvl w:ilvl="3" w:tplc="8686551C">
      <w:start w:val="1"/>
      <w:numFmt w:val="bullet"/>
      <w:lvlText w:val=""/>
      <w:lvlJc w:val="left"/>
      <w:pPr>
        <w:ind w:left="2880" w:hanging="360"/>
      </w:pPr>
      <w:rPr>
        <w:rFonts w:ascii="Symbol" w:hAnsi="Symbol" w:hint="default"/>
      </w:rPr>
    </w:lvl>
    <w:lvl w:ilvl="4" w:tplc="9C9443BE">
      <w:start w:val="1"/>
      <w:numFmt w:val="bullet"/>
      <w:lvlText w:val="o"/>
      <w:lvlJc w:val="left"/>
      <w:pPr>
        <w:ind w:left="3600" w:hanging="360"/>
      </w:pPr>
      <w:rPr>
        <w:rFonts w:ascii="Courier New" w:hAnsi="Courier New" w:hint="default"/>
      </w:rPr>
    </w:lvl>
    <w:lvl w:ilvl="5" w:tplc="2F0075EE">
      <w:start w:val="1"/>
      <w:numFmt w:val="bullet"/>
      <w:lvlText w:val=""/>
      <w:lvlJc w:val="left"/>
      <w:pPr>
        <w:ind w:left="4320" w:hanging="360"/>
      </w:pPr>
      <w:rPr>
        <w:rFonts w:ascii="Wingdings" w:hAnsi="Wingdings" w:hint="default"/>
      </w:rPr>
    </w:lvl>
    <w:lvl w:ilvl="6" w:tplc="C6F88D24">
      <w:start w:val="1"/>
      <w:numFmt w:val="bullet"/>
      <w:lvlText w:val=""/>
      <w:lvlJc w:val="left"/>
      <w:pPr>
        <w:ind w:left="5040" w:hanging="360"/>
      </w:pPr>
      <w:rPr>
        <w:rFonts w:ascii="Symbol" w:hAnsi="Symbol" w:hint="default"/>
      </w:rPr>
    </w:lvl>
    <w:lvl w:ilvl="7" w:tplc="06400644">
      <w:start w:val="1"/>
      <w:numFmt w:val="bullet"/>
      <w:lvlText w:val="o"/>
      <w:lvlJc w:val="left"/>
      <w:pPr>
        <w:ind w:left="5760" w:hanging="360"/>
      </w:pPr>
      <w:rPr>
        <w:rFonts w:ascii="Courier New" w:hAnsi="Courier New" w:hint="default"/>
      </w:rPr>
    </w:lvl>
    <w:lvl w:ilvl="8" w:tplc="9B94FF30">
      <w:start w:val="1"/>
      <w:numFmt w:val="bullet"/>
      <w:lvlText w:val=""/>
      <w:lvlJc w:val="left"/>
      <w:pPr>
        <w:ind w:left="6480" w:hanging="360"/>
      </w:pPr>
      <w:rPr>
        <w:rFonts w:ascii="Wingdings" w:hAnsi="Wingdings" w:hint="default"/>
      </w:rPr>
    </w:lvl>
  </w:abstractNum>
  <w:abstractNum w:abstractNumId="15" w15:restartNumberingAfterBreak="0">
    <w:nsid w:val="3FDD3FDD"/>
    <w:multiLevelType w:val="hybridMultilevel"/>
    <w:tmpl w:val="B76E938A"/>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40A372F5"/>
    <w:multiLevelType w:val="hybridMultilevel"/>
    <w:tmpl w:val="2F5E8B64"/>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7" w15:restartNumberingAfterBreak="0">
    <w:nsid w:val="450D4FAB"/>
    <w:multiLevelType w:val="hybridMultilevel"/>
    <w:tmpl w:val="AEAEFB70"/>
    <w:lvl w:ilvl="0" w:tplc="B32E8F94">
      <w:start w:val="1"/>
      <w:numFmt w:val="decimal"/>
      <w:lvlText w:val="%1."/>
      <w:lvlJc w:val="left"/>
      <w:pPr>
        <w:ind w:left="1080" w:hanging="360"/>
      </w:pPr>
    </w:lvl>
    <w:lvl w:ilvl="1" w:tplc="04220019">
      <w:start w:val="1"/>
      <w:numFmt w:val="lowerLetter"/>
      <w:lvlText w:val="%2."/>
      <w:lvlJc w:val="left"/>
      <w:pPr>
        <w:ind w:left="1800" w:hanging="360"/>
      </w:pPr>
    </w:lvl>
    <w:lvl w:ilvl="2" w:tplc="0422001B">
      <w:start w:val="1"/>
      <w:numFmt w:val="lowerRoman"/>
      <w:lvlText w:val="%3."/>
      <w:lvlJc w:val="right"/>
      <w:pPr>
        <w:ind w:left="2520" w:hanging="180"/>
      </w:pPr>
    </w:lvl>
    <w:lvl w:ilvl="3" w:tplc="0422000F">
      <w:start w:val="1"/>
      <w:numFmt w:val="decimal"/>
      <w:lvlText w:val="%4."/>
      <w:lvlJc w:val="left"/>
      <w:pPr>
        <w:ind w:left="3240" w:hanging="360"/>
      </w:pPr>
    </w:lvl>
    <w:lvl w:ilvl="4" w:tplc="04220019">
      <w:start w:val="1"/>
      <w:numFmt w:val="lowerLetter"/>
      <w:lvlText w:val="%5."/>
      <w:lvlJc w:val="left"/>
      <w:pPr>
        <w:ind w:left="3960" w:hanging="360"/>
      </w:pPr>
    </w:lvl>
    <w:lvl w:ilvl="5" w:tplc="0422001B">
      <w:start w:val="1"/>
      <w:numFmt w:val="lowerRoman"/>
      <w:lvlText w:val="%6."/>
      <w:lvlJc w:val="right"/>
      <w:pPr>
        <w:ind w:left="4680" w:hanging="180"/>
      </w:pPr>
    </w:lvl>
    <w:lvl w:ilvl="6" w:tplc="0422000F">
      <w:start w:val="1"/>
      <w:numFmt w:val="decimal"/>
      <w:lvlText w:val="%7."/>
      <w:lvlJc w:val="left"/>
      <w:pPr>
        <w:ind w:left="5400" w:hanging="360"/>
      </w:pPr>
    </w:lvl>
    <w:lvl w:ilvl="7" w:tplc="04220019">
      <w:start w:val="1"/>
      <w:numFmt w:val="lowerLetter"/>
      <w:lvlText w:val="%8."/>
      <w:lvlJc w:val="left"/>
      <w:pPr>
        <w:ind w:left="6120" w:hanging="360"/>
      </w:pPr>
    </w:lvl>
    <w:lvl w:ilvl="8" w:tplc="0422001B">
      <w:start w:val="1"/>
      <w:numFmt w:val="lowerRoman"/>
      <w:lvlText w:val="%9."/>
      <w:lvlJc w:val="right"/>
      <w:pPr>
        <w:ind w:left="6840" w:hanging="180"/>
      </w:pPr>
    </w:lvl>
  </w:abstractNum>
  <w:abstractNum w:abstractNumId="18" w15:restartNumberingAfterBreak="0">
    <w:nsid w:val="479F5201"/>
    <w:multiLevelType w:val="hybridMultilevel"/>
    <w:tmpl w:val="E9F27BC2"/>
    <w:lvl w:ilvl="0" w:tplc="A4668FBC">
      <w:numFmt w:val="bullet"/>
      <w:lvlText w:val="-"/>
      <w:lvlJc w:val="left"/>
      <w:pPr>
        <w:ind w:left="927" w:hanging="360"/>
      </w:pPr>
      <w:rPr>
        <w:rFonts w:ascii="Times New Roman" w:eastAsia="DejaVu Sans" w:hAnsi="Times New Roman"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19" w15:restartNumberingAfterBreak="0">
    <w:nsid w:val="47E61672"/>
    <w:multiLevelType w:val="hybridMultilevel"/>
    <w:tmpl w:val="D8305914"/>
    <w:lvl w:ilvl="0" w:tplc="104221F4">
      <w:start w:val="1"/>
      <w:numFmt w:val="decimal"/>
      <w:lvlText w:val="%1."/>
      <w:lvlJc w:val="left"/>
      <w:pPr>
        <w:ind w:left="927" w:hanging="360"/>
      </w:pPr>
      <w:rPr>
        <w:rFonts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20" w15:restartNumberingAfterBreak="0">
    <w:nsid w:val="5512F7FE"/>
    <w:multiLevelType w:val="hybridMultilevel"/>
    <w:tmpl w:val="88B618DE"/>
    <w:lvl w:ilvl="0" w:tplc="3F46CE0A">
      <w:start w:val="2"/>
      <w:numFmt w:val="decimal"/>
      <w:lvlText w:val="%1."/>
      <w:lvlJc w:val="left"/>
      <w:pPr>
        <w:ind w:left="720" w:hanging="360"/>
      </w:pPr>
      <w:rPr>
        <w:i/>
        <w:iCs/>
      </w:rPr>
    </w:lvl>
    <w:lvl w:ilvl="1" w:tplc="0806298A">
      <w:start w:val="1"/>
      <w:numFmt w:val="lowerLetter"/>
      <w:lvlText w:val="%2."/>
      <w:lvlJc w:val="left"/>
      <w:pPr>
        <w:ind w:left="1440" w:hanging="360"/>
      </w:pPr>
    </w:lvl>
    <w:lvl w:ilvl="2" w:tplc="12BE810C">
      <w:start w:val="1"/>
      <w:numFmt w:val="lowerRoman"/>
      <w:lvlText w:val="%3."/>
      <w:lvlJc w:val="right"/>
      <w:pPr>
        <w:ind w:left="2160" w:hanging="180"/>
      </w:pPr>
    </w:lvl>
    <w:lvl w:ilvl="3" w:tplc="2AA42B0A">
      <w:start w:val="1"/>
      <w:numFmt w:val="decimal"/>
      <w:lvlText w:val="%4."/>
      <w:lvlJc w:val="left"/>
      <w:pPr>
        <w:ind w:left="2880" w:hanging="360"/>
      </w:pPr>
    </w:lvl>
    <w:lvl w:ilvl="4" w:tplc="6A2C8880">
      <w:start w:val="1"/>
      <w:numFmt w:val="lowerLetter"/>
      <w:lvlText w:val="%5."/>
      <w:lvlJc w:val="left"/>
      <w:pPr>
        <w:ind w:left="3600" w:hanging="360"/>
      </w:pPr>
    </w:lvl>
    <w:lvl w:ilvl="5" w:tplc="F9ACF2FA">
      <w:start w:val="1"/>
      <w:numFmt w:val="lowerRoman"/>
      <w:lvlText w:val="%6."/>
      <w:lvlJc w:val="right"/>
      <w:pPr>
        <w:ind w:left="4320" w:hanging="180"/>
      </w:pPr>
    </w:lvl>
    <w:lvl w:ilvl="6" w:tplc="0E9CBEE4">
      <w:start w:val="1"/>
      <w:numFmt w:val="decimal"/>
      <w:lvlText w:val="%7."/>
      <w:lvlJc w:val="left"/>
      <w:pPr>
        <w:ind w:left="5040" w:hanging="360"/>
      </w:pPr>
    </w:lvl>
    <w:lvl w:ilvl="7" w:tplc="E9E6B8F2">
      <w:start w:val="1"/>
      <w:numFmt w:val="lowerLetter"/>
      <w:lvlText w:val="%8."/>
      <w:lvlJc w:val="left"/>
      <w:pPr>
        <w:ind w:left="5760" w:hanging="360"/>
      </w:pPr>
    </w:lvl>
    <w:lvl w:ilvl="8" w:tplc="CCDA682C">
      <w:start w:val="1"/>
      <w:numFmt w:val="lowerRoman"/>
      <w:lvlText w:val="%9."/>
      <w:lvlJc w:val="right"/>
      <w:pPr>
        <w:ind w:left="6480" w:hanging="180"/>
      </w:pPr>
    </w:lvl>
  </w:abstractNum>
  <w:abstractNum w:abstractNumId="21" w15:restartNumberingAfterBreak="0">
    <w:nsid w:val="565B2586"/>
    <w:multiLevelType w:val="hybridMultilevel"/>
    <w:tmpl w:val="60F02C28"/>
    <w:lvl w:ilvl="0" w:tplc="3AB82DB4">
      <w:start w:val="4"/>
      <w:numFmt w:val="decimal"/>
      <w:lvlText w:val="%1."/>
      <w:lvlJc w:val="left"/>
      <w:pPr>
        <w:ind w:left="720" w:hanging="360"/>
      </w:pPr>
      <w:rPr>
        <w:rFonts w:hint="default"/>
        <w:i/>
        <w:iCs/>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2" w15:restartNumberingAfterBreak="0">
    <w:nsid w:val="62440731"/>
    <w:multiLevelType w:val="hybridMultilevel"/>
    <w:tmpl w:val="88B618DE"/>
    <w:lvl w:ilvl="0" w:tplc="3F46CE0A">
      <w:start w:val="2"/>
      <w:numFmt w:val="decimal"/>
      <w:lvlText w:val="%1."/>
      <w:lvlJc w:val="left"/>
      <w:pPr>
        <w:ind w:left="720" w:hanging="360"/>
      </w:pPr>
      <w:rPr>
        <w:i/>
        <w:iCs/>
      </w:rPr>
    </w:lvl>
    <w:lvl w:ilvl="1" w:tplc="0806298A">
      <w:start w:val="1"/>
      <w:numFmt w:val="lowerLetter"/>
      <w:lvlText w:val="%2."/>
      <w:lvlJc w:val="left"/>
      <w:pPr>
        <w:ind w:left="1440" w:hanging="360"/>
      </w:pPr>
    </w:lvl>
    <w:lvl w:ilvl="2" w:tplc="12BE810C">
      <w:start w:val="1"/>
      <w:numFmt w:val="lowerRoman"/>
      <w:lvlText w:val="%3."/>
      <w:lvlJc w:val="right"/>
      <w:pPr>
        <w:ind w:left="2160" w:hanging="180"/>
      </w:pPr>
    </w:lvl>
    <w:lvl w:ilvl="3" w:tplc="2AA42B0A">
      <w:start w:val="1"/>
      <w:numFmt w:val="decimal"/>
      <w:lvlText w:val="%4."/>
      <w:lvlJc w:val="left"/>
      <w:pPr>
        <w:ind w:left="2880" w:hanging="360"/>
      </w:pPr>
    </w:lvl>
    <w:lvl w:ilvl="4" w:tplc="6A2C8880">
      <w:start w:val="1"/>
      <w:numFmt w:val="lowerLetter"/>
      <w:lvlText w:val="%5."/>
      <w:lvlJc w:val="left"/>
      <w:pPr>
        <w:ind w:left="3600" w:hanging="360"/>
      </w:pPr>
    </w:lvl>
    <w:lvl w:ilvl="5" w:tplc="F9ACF2FA">
      <w:start w:val="1"/>
      <w:numFmt w:val="lowerRoman"/>
      <w:lvlText w:val="%6."/>
      <w:lvlJc w:val="right"/>
      <w:pPr>
        <w:ind w:left="4320" w:hanging="180"/>
      </w:pPr>
    </w:lvl>
    <w:lvl w:ilvl="6" w:tplc="0E9CBEE4">
      <w:start w:val="1"/>
      <w:numFmt w:val="decimal"/>
      <w:lvlText w:val="%7."/>
      <w:lvlJc w:val="left"/>
      <w:pPr>
        <w:ind w:left="5040" w:hanging="360"/>
      </w:pPr>
    </w:lvl>
    <w:lvl w:ilvl="7" w:tplc="E9E6B8F2">
      <w:start w:val="1"/>
      <w:numFmt w:val="lowerLetter"/>
      <w:lvlText w:val="%8."/>
      <w:lvlJc w:val="left"/>
      <w:pPr>
        <w:ind w:left="5760" w:hanging="360"/>
      </w:pPr>
    </w:lvl>
    <w:lvl w:ilvl="8" w:tplc="CCDA682C">
      <w:start w:val="1"/>
      <w:numFmt w:val="lowerRoman"/>
      <w:lvlText w:val="%9."/>
      <w:lvlJc w:val="right"/>
      <w:pPr>
        <w:ind w:left="6480" w:hanging="180"/>
      </w:pPr>
    </w:lvl>
  </w:abstractNum>
  <w:abstractNum w:abstractNumId="23" w15:restartNumberingAfterBreak="0">
    <w:nsid w:val="63D8A061"/>
    <w:multiLevelType w:val="hybridMultilevel"/>
    <w:tmpl w:val="DABE57AE"/>
    <w:lvl w:ilvl="0" w:tplc="FFFFFFFF">
      <w:start w:val="1"/>
      <w:numFmt w:val="decimal"/>
      <w:lvlText w:val="%1."/>
      <w:lvlJc w:val="left"/>
      <w:pPr>
        <w:ind w:left="720" w:hanging="360"/>
      </w:pPr>
    </w:lvl>
    <w:lvl w:ilvl="1" w:tplc="C61CCC90">
      <w:start w:val="1"/>
      <w:numFmt w:val="bullet"/>
      <w:lvlText w:val="o"/>
      <w:lvlJc w:val="left"/>
      <w:pPr>
        <w:ind w:left="1440" w:hanging="360"/>
      </w:pPr>
      <w:rPr>
        <w:rFonts w:ascii="Courier New" w:hAnsi="Courier New" w:hint="default"/>
      </w:rPr>
    </w:lvl>
    <w:lvl w:ilvl="2" w:tplc="6C848118">
      <w:start w:val="1"/>
      <w:numFmt w:val="bullet"/>
      <w:lvlText w:val=""/>
      <w:lvlJc w:val="left"/>
      <w:pPr>
        <w:ind w:left="2160" w:hanging="360"/>
      </w:pPr>
      <w:rPr>
        <w:rFonts w:ascii="Wingdings" w:hAnsi="Wingdings" w:hint="default"/>
      </w:rPr>
    </w:lvl>
    <w:lvl w:ilvl="3" w:tplc="FCC2565A">
      <w:start w:val="1"/>
      <w:numFmt w:val="bullet"/>
      <w:lvlText w:val=""/>
      <w:lvlJc w:val="left"/>
      <w:pPr>
        <w:ind w:left="2880" w:hanging="360"/>
      </w:pPr>
      <w:rPr>
        <w:rFonts w:ascii="Symbol" w:hAnsi="Symbol" w:hint="default"/>
      </w:rPr>
    </w:lvl>
    <w:lvl w:ilvl="4" w:tplc="3476FF48">
      <w:start w:val="1"/>
      <w:numFmt w:val="bullet"/>
      <w:lvlText w:val="o"/>
      <w:lvlJc w:val="left"/>
      <w:pPr>
        <w:ind w:left="3600" w:hanging="360"/>
      </w:pPr>
      <w:rPr>
        <w:rFonts w:ascii="Courier New" w:hAnsi="Courier New" w:hint="default"/>
      </w:rPr>
    </w:lvl>
    <w:lvl w:ilvl="5" w:tplc="19D432B8">
      <w:start w:val="1"/>
      <w:numFmt w:val="bullet"/>
      <w:lvlText w:val=""/>
      <w:lvlJc w:val="left"/>
      <w:pPr>
        <w:ind w:left="4320" w:hanging="360"/>
      </w:pPr>
      <w:rPr>
        <w:rFonts w:ascii="Wingdings" w:hAnsi="Wingdings" w:hint="default"/>
      </w:rPr>
    </w:lvl>
    <w:lvl w:ilvl="6" w:tplc="4B764598">
      <w:start w:val="1"/>
      <w:numFmt w:val="bullet"/>
      <w:lvlText w:val=""/>
      <w:lvlJc w:val="left"/>
      <w:pPr>
        <w:ind w:left="5040" w:hanging="360"/>
      </w:pPr>
      <w:rPr>
        <w:rFonts w:ascii="Symbol" w:hAnsi="Symbol" w:hint="default"/>
      </w:rPr>
    </w:lvl>
    <w:lvl w:ilvl="7" w:tplc="6AB88C2E">
      <w:start w:val="1"/>
      <w:numFmt w:val="bullet"/>
      <w:lvlText w:val="o"/>
      <w:lvlJc w:val="left"/>
      <w:pPr>
        <w:ind w:left="5760" w:hanging="360"/>
      </w:pPr>
      <w:rPr>
        <w:rFonts w:ascii="Courier New" w:hAnsi="Courier New" w:hint="default"/>
      </w:rPr>
    </w:lvl>
    <w:lvl w:ilvl="8" w:tplc="6408FDD4">
      <w:start w:val="1"/>
      <w:numFmt w:val="bullet"/>
      <w:lvlText w:val=""/>
      <w:lvlJc w:val="left"/>
      <w:pPr>
        <w:ind w:left="6480" w:hanging="360"/>
      </w:pPr>
      <w:rPr>
        <w:rFonts w:ascii="Wingdings" w:hAnsi="Wingdings" w:hint="default"/>
      </w:rPr>
    </w:lvl>
  </w:abstractNum>
  <w:abstractNum w:abstractNumId="24" w15:restartNumberingAfterBreak="0">
    <w:nsid w:val="676606CF"/>
    <w:multiLevelType w:val="hybridMultilevel"/>
    <w:tmpl w:val="257449F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6C546503"/>
    <w:multiLevelType w:val="hybridMultilevel"/>
    <w:tmpl w:val="39AA934A"/>
    <w:lvl w:ilvl="0" w:tplc="042C52DE">
      <w:start w:val="1"/>
      <w:numFmt w:val="bullet"/>
      <w:lvlText w:val="-"/>
      <w:lvlJc w:val="left"/>
      <w:pPr>
        <w:ind w:left="720" w:hanging="360"/>
      </w:pPr>
      <w:rPr>
        <w:rFonts w:ascii="Symbol" w:hAnsi="Symbol" w:hint="default"/>
      </w:rPr>
    </w:lvl>
    <w:lvl w:ilvl="1" w:tplc="A4361D5C">
      <w:start w:val="1"/>
      <w:numFmt w:val="bullet"/>
      <w:lvlText w:val="o"/>
      <w:lvlJc w:val="left"/>
      <w:pPr>
        <w:ind w:left="1440" w:hanging="360"/>
      </w:pPr>
      <w:rPr>
        <w:rFonts w:ascii="Courier New" w:hAnsi="Courier New" w:hint="default"/>
      </w:rPr>
    </w:lvl>
    <w:lvl w:ilvl="2" w:tplc="C5D62E06">
      <w:start w:val="1"/>
      <w:numFmt w:val="bullet"/>
      <w:lvlText w:val=""/>
      <w:lvlJc w:val="left"/>
      <w:pPr>
        <w:ind w:left="2160" w:hanging="360"/>
      </w:pPr>
      <w:rPr>
        <w:rFonts w:ascii="Wingdings" w:hAnsi="Wingdings" w:hint="default"/>
      </w:rPr>
    </w:lvl>
    <w:lvl w:ilvl="3" w:tplc="EC02A8DA">
      <w:start w:val="1"/>
      <w:numFmt w:val="bullet"/>
      <w:lvlText w:val=""/>
      <w:lvlJc w:val="left"/>
      <w:pPr>
        <w:ind w:left="2880" w:hanging="360"/>
      </w:pPr>
      <w:rPr>
        <w:rFonts w:ascii="Symbol" w:hAnsi="Symbol" w:hint="default"/>
      </w:rPr>
    </w:lvl>
    <w:lvl w:ilvl="4" w:tplc="5E4C15F0">
      <w:start w:val="1"/>
      <w:numFmt w:val="bullet"/>
      <w:lvlText w:val="o"/>
      <w:lvlJc w:val="left"/>
      <w:pPr>
        <w:ind w:left="3600" w:hanging="360"/>
      </w:pPr>
      <w:rPr>
        <w:rFonts w:ascii="Courier New" w:hAnsi="Courier New" w:hint="default"/>
      </w:rPr>
    </w:lvl>
    <w:lvl w:ilvl="5" w:tplc="017A16F4">
      <w:start w:val="1"/>
      <w:numFmt w:val="bullet"/>
      <w:lvlText w:val=""/>
      <w:lvlJc w:val="left"/>
      <w:pPr>
        <w:ind w:left="4320" w:hanging="360"/>
      </w:pPr>
      <w:rPr>
        <w:rFonts w:ascii="Wingdings" w:hAnsi="Wingdings" w:hint="default"/>
      </w:rPr>
    </w:lvl>
    <w:lvl w:ilvl="6" w:tplc="024C5528">
      <w:start w:val="1"/>
      <w:numFmt w:val="bullet"/>
      <w:lvlText w:val=""/>
      <w:lvlJc w:val="left"/>
      <w:pPr>
        <w:ind w:left="5040" w:hanging="360"/>
      </w:pPr>
      <w:rPr>
        <w:rFonts w:ascii="Symbol" w:hAnsi="Symbol" w:hint="default"/>
      </w:rPr>
    </w:lvl>
    <w:lvl w:ilvl="7" w:tplc="3C9ECB70">
      <w:start w:val="1"/>
      <w:numFmt w:val="bullet"/>
      <w:lvlText w:val="o"/>
      <w:lvlJc w:val="left"/>
      <w:pPr>
        <w:ind w:left="5760" w:hanging="360"/>
      </w:pPr>
      <w:rPr>
        <w:rFonts w:ascii="Courier New" w:hAnsi="Courier New" w:hint="default"/>
      </w:rPr>
    </w:lvl>
    <w:lvl w:ilvl="8" w:tplc="141AAD2C">
      <w:start w:val="1"/>
      <w:numFmt w:val="bullet"/>
      <w:lvlText w:val=""/>
      <w:lvlJc w:val="left"/>
      <w:pPr>
        <w:ind w:left="6480" w:hanging="360"/>
      </w:pPr>
      <w:rPr>
        <w:rFonts w:ascii="Wingdings" w:hAnsi="Wingdings" w:hint="default"/>
      </w:rPr>
    </w:lvl>
  </w:abstractNum>
  <w:abstractNum w:abstractNumId="26" w15:restartNumberingAfterBreak="0">
    <w:nsid w:val="74FF323F"/>
    <w:multiLevelType w:val="hybridMultilevel"/>
    <w:tmpl w:val="AAB452C8"/>
    <w:lvl w:ilvl="0" w:tplc="CEDA3522">
      <w:start w:val="2"/>
      <w:numFmt w:val="decimal"/>
      <w:lvlText w:val="%1."/>
      <w:lvlJc w:val="left"/>
      <w:pPr>
        <w:ind w:left="1080" w:hanging="360"/>
      </w:pPr>
      <w:rPr>
        <w:rFonts w:hint="default"/>
        <w:i/>
      </w:rPr>
    </w:lvl>
    <w:lvl w:ilvl="1" w:tplc="04220019" w:tentative="1">
      <w:start w:val="1"/>
      <w:numFmt w:val="lowerLetter"/>
      <w:lvlText w:val="%2."/>
      <w:lvlJc w:val="left"/>
      <w:pPr>
        <w:ind w:left="1800" w:hanging="360"/>
      </w:pPr>
    </w:lvl>
    <w:lvl w:ilvl="2" w:tplc="0422001B" w:tentative="1">
      <w:start w:val="1"/>
      <w:numFmt w:val="lowerRoman"/>
      <w:lvlText w:val="%3."/>
      <w:lvlJc w:val="right"/>
      <w:pPr>
        <w:ind w:left="2520" w:hanging="180"/>
      </w:pPr>
    </w:lvl>
    <w:lvl w:ilvl="3" w:tplc="0422000F" w:tentative="1">
      <w:start w:val="1"/>
      <w:numFmt w:val="decimal"/>
      <w:lvlText w:val="%4."/>
      <w:lvlJc w:val="left"/>
      <w:pPr>
        <w:ind w:left="3240" w:hanging="360"/>
      </w:pPr>
    </w:lvl>
    <w:lvl w:ilvl="4" w:tplc="04220019" w:tentative="1">
      <w:start w:val="1"/>
      <w:numFmt w:val="lowerLetter"/>
      <w:lvlText w:val="%5."/>
      <w:lvlJc w:val="left"/>
      <w:pPr>
        <w:ind w:left="3960" w:hanging="360"/>
      </w:pPr>
    </w:lvl>
    <w:lvl w:ilvl="5" w:tplc="0422001B" w:tentative="1">
      <w:start w:val="1"/>
      <w:numFmt w:val="lowerRoman"/>
      <w:lvlText w:val="%6."/>
      <w:lvlJc w:val="right"/>
      <w:pPr>
        <w:ind w:left="4680" w:hanging="180"/>
      </w:pPr>
    </w:lvl>
    <w:lvl w:ilvl="6" w:tplc="0422000F" w:tentative="1">
      <w:start w:val="1"/>
      <w:numFmt w:val="decimal"/>
      <w:lvlText w:val="%7."/>
      <w:lvlJc w:val="left"/>
      <w:pPr>
        <w:ind w:left="5400" w:hanging="360"/>
      </w:pPr>
    </w:lvl>
    <w:lvl w:ilvl="7" w:tplc="04220019" w:tentative="1">
      <w:start w:val="1"/>
      <w:numFmt w:val="lowerLetter"/>
      <w:lvlText w:val="%8."/>
      <w:lvlJc w:val="left"/>
      <w:pPr>
        <w:ind w:left="6120" w:hanging="360"/>
      </w:pPr>
    </w:lvl>
    <w:lvl w:ilvl="8" w:tplc="0422001B" w:tentative="1">
      <w:start w:val="1"/>
      <w:numFmt w:val="lowerRoman"/>
      <w:lvlText w:val="%9."/>
      <w:lvlJc w:val="right"/>
      <w:pPr>
        <w:ind w:left="6840" w:hanging="180"/>
      </w:pPr>
    </w:lvl>
  </w:abstractNum>
  <w:abstractNum w:abstractNumId="27" w15:restartNumberingAfterBreak="0">
    <w:nsid w:val="78B6666D"/>
    <w:multiLevelType w:val="hybridMultilevel"/>
    <w:tmpl w:val="A0AC7CCE"/>
    <w:lvl w:ilvl="0" w:tplc="25E291A8">
      <w:start w:val="1"/>
      <w:numFmt w:val="bullet"/>
      <w:lvlText w:val="-"/>
      <w:lvlJc w:val="left"/>
      <w:pPr>
        <w:ind w:left="720" w:hanging="360"/>
      </w:pPr>
      <w:rPr>
        <w:rFonts w:ascii="Aptos" w:hAnsi="Aptos" w:hint="default"/>
      </w:rPr>
    </w:lvl>
    <w:lvl w:ilvl="1" w:tplc="A5288E84">
      <w:start w:val="1"/>
      <w:numFmt w:val="bullet"/>
      <w:lvlText w:val="o"/>
      <w:lvlJc w:val="left"/>
      <w:pPr>
        <w:ind w:left="1440" w:hanging="360"/>
      </w:pPr>
      <w:rPr>
        <w:rFonts w:ascii="Courier New" w:hAnsi="Courier New" w:hint="default"/>
      </w:rPr>
    </w:lvl>
    <w:lvl w:ilvl="2" w:tplc="CE24D65C">
      <w:start w:val="1"/>
      <w:numFmt w:val="bullet"/>
      <w:lvlText w:val=""/>
      <w:lvlJc w:val="left"/>
      <w:pPr>
        <w:ind w:left="2160" w:hanging="360"/>
      </w:pPr>
      <w:rPr>
        <w:rFonts w:ascii="Wingdings" w:hAnsi="Wingdings" w:hint="default"/>
      </w:rPr>
    </w:lvl>
    <w:lvl w:ilvl="3" w:tplc="3EE8AD68">
      <w:start w:val="1"/>
      <w:numFmt w:val="bullet"/>
      <w:lvlText w:val=""/>
      <w:lvlJc w:val="left"/>
      <w:pPr>
        <w:ind w:left="2880" w:hanging="360"/>
      </w:pPr>
      <w:rPr>
        <w:rFonts w:ascii="Symbol" w:hAnsi="Symbol" w:hint="default"/>
      </w:rPr>
    </w:lvl>
    <w:lvl w:ilvl="4" w:tplc="060C580C">
      <w:start w:val="1"/>
      <w:numFmt w:val="bullet"/>
      <w:lvlText w:val="o"/>
      <w:lvlJc w:val="left"/>
      <w:pPr>
        <w:ind w:left="3600" w:hanging="360"/>
      </w:pPr>
      <w:rPr>
        <w:rFonts w:ascii="Courier New" w:hAnsi="Courier New" w:hint="default"/>
      </w:rPr>
    </w:lvl>
    <w:lvl w:ilvl="5" w:tplc="52306CB2">
      <w:start w:val="1"/>
      <w:numFmt w:val="bullet"/>
      <w:lvlText w:val=""/>
      <w:lvlJc w:val="left"/>
      <w:pPr>
        <w:ind w:left="4320" w:hanging="360"/>
      </w:pPr>
      <w:rPr>
        <w:rFonts w:ascii="Wingdings" w:hAnsi="Wingdings" w:hint="default"/>
      </w:rPr>
    </w:lvl>
    <w:lvl w:ilvl="6" w:tplc="489E3672">
      <w:start w:val="1"/>
      <w:numFmt w:val="bullet"/>
      <w:lvlText w:val=""/>
      <w:lvlJc w:val="left"/>
      <w:pPr>
        <w:ind w:left="5040" w:hanging="360"/>
      </w:pPr>
      <w:rPr>
        <w:rFonts w:ascii="Symbol" w:hAnsi="Symbol" w:hint="default"/>
      </w:rPr>
    </w:lvl>
    <w:lvl w:ilvl="7" w:tplc="22462D5A">
      <w:start w:val="1"/>
      <w:numFmt w:val="bullet"/>
      <w:lvlText w:val="o"/>
      <w:lvlJc w:val="left"/>
      <w:pPr>
        <w:ind w:left="5760" w:hanging="360"/>
      </w:pPr>
      <w:rPr>
        <w:rFonts w:ascii="Courier New" w:hAnsi="Courier New" w:hint="default"/>
      </w:rPr>
    </w:lvl>
    <w:lvl w:ilvl="8" w:tplc="354E4062">
      <w:start w:val="1"/>
      <w:numFmt w:val="bullet"/>
      <w:lvlText w:val=""/>
      <w:lvlJc w:val="left"/>
      <w:pPr>
        <w:ind w:left="6480" w:hanging="360"/>
      </w:pPr>
      <w:rPr>
        <w:rFonts w:ascii="Wingdings" w:hAnsi="Wingdings" w:hint="default"/>
      </w:rPr>
    </w:lvl>
  </w:abstractNum>
  <w:abstractNum w:abstractNumId="28" w15:restartNumberingAfterBreak="0">
    <w:nsid w:val="7B1829AF"/>
    <w:multiLevelType w:val="hybridMultilevel"/>
    <w:tmpl w:val="A758487A"/>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num w:numId="1">
    <w:abstractNumId w:val="6"/>
  </w:num>
  <w:num w:numId="2">
    <w:abstractNumId w:val="27"/>
  </w:num>
  <w:num w:numId="3">
    <w:abstractNumId w:val="10"/>
  </w:num>
  <w:num w:numId="4">
    <w:abstractNumId w:val="8"/>
  </w:num>
  <w:num w:numId="5">
    <w:abstractNumId w:val="12"/>
  </w:num>
  <w:num w:numId="6">
    <w:abstractNumId w:val="14"/>
  </w:num>
  <w:num w:numId="7">
    <w:abstractNumId w:val="2"/>
  </w:num>
  <w:num w:numId="8">
    <w:abstractNumId w:val="11"/>
  </w:num>
  <w:num w:numId="9">
    <w:abstractNumId w:val="20"/>
  </w:num>
  <w:num w:numId="10">
    <w:abstractNumId w:val="3"/>
  </w:num>
  <w:num w:numId="11">
    <w:abstractNumId w:val="9"/>
  </w:num>
  <w:num w:numId="12">
    <w:abstractNumId w:val="24"/>
  </w:num>
  <w:num w:numId="13">
    <w:abstractNumId w:val="18"/>
  </w:num>
  <w:num w:numId="14">
    <w:abstractNumId w:val="0"/>
  </w:num>
  <w:num w:numId="15">
    <w:abstractNumId w:val="28"/>
  </w:num>
  <w:num w:numId="16">
    <w:abstractNumId w:val="16"/>
  </w:num>
  <w:num w:numId="17">
    <w:abstractNumId w:val="5"/>
  </w:num>
  <w:num w:numId="1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6"/>
  </w:num>
  <w:num w:numId="20">
    <w:abstractNumId w:val="15"/>
  </w:num>
  <w:num w:numId="21">
    <w:abstractNumId w:val="13"/>
  </w:num>
  <w:num w:numId="22">
    <w:abstractNumId w:val="7"/>
  </w:num>
  <w:num w:numId="23">
    <w:abstractNumId w:val="4"/>
  </w:num>
  <w:num w:numId="24">
    <w:abstractNumId w:val="22"/>
  </w:num>
  <w:num w:numId="25">
    <w:abstractNumId w:val="21"/>
  </w:num>
  <w:num w:numId="26">
    <w:abstractNumId w:val="17"/>
  </w:num>
  <w:num w:numId="27">
    <w:abstractNumId w:val="1"/>
  </w:num>
  <w:num w:numId="28">
    <w:abstractNumId w:val="23"/>
  </w:num>
  <w:num w:numId="29">
    <w:abstractNumId w:val="25"/>
  </w:num>
  <w:num w:numId="30">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5:chartTrackingRefBased/>
  <w15:docId w15:val="{14E44AC2-ADB5-4A66-95D2-9D9E52B97D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7">
    <w:name w:val="heading 7"/>
    <w:basedOn w:val="a"/>
    <w:next w:val="a"/>
    <w:link w:val="70"/>
    <w:qFormat/>
    <w:pPr>
      <w:spacing w:before="240" w:after="60"/>
      <w:outlineLvl w:val="6"/>
    </w:pPr>
    <w:rPr>
      <w:lang w:val="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pPr>
      <w:tabs>
        <w:tab w:val="center" w:pos="4819"/>
        <w:tab w:val="right" w:pos="9639"/>
      </w:tabs>
    </w:pPr>
  </w:style>
  <w:style w:type="character" w:customStyle="1" w:styleId="a4">
    <w:name w:val="Верхний колонтитул Знак"/>
    <w:basedOn w:val="a0"/>
    <w:link w:val="a3"/>
    <w:uiPriority w:val="99"/>
    <w:rPr>
      <w:rFonts w:ascii="DejaVu Sans" w:eastAsia="DejaVu Sans" w:hAnsi="DejaVu Sans" w:cs="DejaVu Sans"/>
      <w:color w:val="000000"/>
      <w:sz w:val="24"/>
      <w:szCs w:val="24"/>
      <w:lang w:eastAsia="uk-UA" w:bidi="uk-UA"/>
    </w:rPr>
  </w:style>
  <w:style w:type="table" w:customStyle="1" w:styleId="a5">
    <w:name w:val="Стиль"/>
    <w:basedOn w:val="a1"/>
    <w:pPr>
      <w:spacing w:line="279" w:lineRule="auto"/>
    </w:pPr>
    <w:rPr>
      <w:rFonts w:ascii="Arial" w:eastAsia="Times New Roman" w:hAnsi="Arial" w:cs="Arial"/>
      <w:sz w:val="24"/>
      <w:szCs w:val="24"/>
      <w:lang w:eastAsia="uk-UA"/>
    </w:rPr>
    <w:tblPr>
      <w:tblStyleRowBandSize w:val="1"/>
      <w:tblStyleColBandSize w:val="1"/>
      <w:tblInd w:w="0" w:type="nil"/>
      <w:tblCellMar>
        <w:top w:w="100" w:type="dxa"/>
        <w:left w:w="100" w:type="dxa"/>
        <w:bottom w:w="100" w:type="dxa"/>
        <w:right w:w="100" w:type="dxa"/>
      </w:tblCellMar>
    </w:tblPr>
  </w:style>
  <w:style w:type="paragraph" w:styleId="a6">
    <w:name w:val="No Spacing"/>
    <w:uiPriority w:val="1"/>
    <w:qFormat/>
    <w:pPr>
      <w:widowControl w:val="0"/>
      <w:spacing w:after="0" w:line="240" w:lineRule="auto"/>
    </w:pPr>
    <w:rPr>
      <w:rFonts w:ascii="DejaVu Sans" w:eastAsia="DejaVu Sans" w:hAnsi="DejaVu Sans" w:cs="DejaVu Sans"/>
      <w:color w:val="000000"/>
      <w:sz w:val="24"/>
      <w:szCs w:val="24"/>
      <w:lang w:eastAsia="uk-UA" w:bidi="uk-UA"/>
    </w:rPr>
  </w:style>
  <w:style w:type="character" w:customStyle="1" w:styleId="70">
    <w:name w:val="Заголовок 7 Знак"/>
    <w:basedOn w:val="a0"/>
    <w:link w:val="7"/>
    <w:rPr>
      <w:rFonts w:ascii="Times New Roman" w:eastAsia="Times New Roman" w:hAnsi="Times New Roman" w:cs="Times New Roman"/>
      <w:sz w:val="24"/>
      <w:szCs w:val="24"/>
      <w:lang w:val="ru-RU" w:eastAsia="ru-RU"/>
    </w:rPr>
  </w:style>
  <w:style w:type="paragraph" w:styleId="a7">
    <w:name w:val="List Paragraph"/>
    <w:basedOn w:val="a"/>
    <w:uiPriority w:val="34"/>
    <w:qFormat/>
    <w:pPr>
      <w:ind w:left="720"/>
      <w:contextualSpacing/>
    </w:pPr>
  </w:style>
  <w:style w:type="character" w:styleId="a8">
    <w:name w:val="Hyperlink"/>
    <w:basedOn w:val="a0"/>
    <w:uiPriority w:val="99"/>
    <w:unhideWhenUsed/>
    <w:rPr>
      <w:color w:val="0563C1" w:themeColor="hyperlink"/>
      <w:u w:val="single"/>
    </w:rPr>
  </w:style>
  <w:style w:type="paragraph" w:customStyle="1" w:styleId="rvps2">
    <w:name w:val="rvps2"/>
    <w:basedOn w:val="a"/>
    <w:pPr>
      <w:spacing w:before="100" w:beforeAutospacing="1" w:after="100" w:afterAutospacing="1"/>
    </w:pPr>
    <w:rPr>
      <w:lang w:eastAsia="uk-UA"/>
    </w:rPr>
  </w:style>
  <w:style w:type="character" w:customStyle="1" w:styleId="ui-provider">
    <w:name w:val="ui-provider"/>
    <w:basedOn w:val="a0"/>
  </w:style>
  <w:style w:type="character" w:customStyle="1" w:styleId="rvts0">
    <w:name w:val="rvts0"/>
    <w:basedOn w:val="a0"/>
  </w:style>
  <w:style w:type="character" w:customStyle="1" w:styleId="hgkelc">
    <w:name w:val="hgkelc"/>
    <w:basedOn w:val="a0"/>
  </w:style>
  <w:style w:type="character" w:styleId="a9">
    <w:name w:val="annotation reference"/>
    <w:basedOn w:val="a0"/>
    <w:uiPriority w:val="99"/>
    <w:semiHidden/>
    <w:unhideWhenUsed/>
    <w:rPr>
      <w:sz w:val="16"/>
      <w:szCs w:val="16"/>
    </w:rPr>
  </w:style>
  <w:style w:type="paragraph" w:styleId="aa">
    <w:name w:val="annotation text"/>
    <w:basedOn w:val="a"/>
    <w:link w:val="ab"/>
    <w:uiPriority w:val="99"/>
    <w:semiHidden/>
    <w:unhideWhenUsed/>
    <w:rPr>
      <w:sz w:val="20"/>
      <w:szCs w:val="20"/>
    </w:rPr>
  </w:style>
  <w:style w:type="character" w:customStyle="1" w:styleId="ab">
    <w:name w:val="Текст примечания Знак"/>
    <w:basedOn w:val="a0"/>
    <w:link w:val="aa"/>
    <w:uiPriority w:val="99"/>
    <w:semiHidden/>
    <w:rPr>
      <w:rFonts w:ascii="Times New Roman" w:eastAsia="Times New Roman" w:hAnsi="Times New Roman" w:cs="Times New Roman"/>
      <w:sz w:val="20"/>
      <w:szCs w:val="20"/>
      <w:lang w:eastAsia="ru-RU"/>
    </w:rPr>
  </w:style>
  <w:style w:type="paragraph" w:styleId="ac">
    <w:name w:val="annotation subject"/>
    <w:basedOn w:val="aa"/>
    <w:next w:val="aa"/>
    <w:link w:val="ad"/>
    <w:uiPriority w:val="99"/>
    <w:semiHidden/>
    <w:unhideWhenUsed/>
    <w:rPr>
      <w:b/>
      <w:bCs/>
    </w:rPr>
  </w:style>
  <w:style w:type="character" w:customStyle="1" w:styleId="ad">
    <w:name w:val="Тема примечания Знак"/>
    <w:basedOn w:val="ab"/>
    <w:link w:val="ac"/>
    <w:uiPriority w:val="99"/>
    <w:semiHidden/>
    <w:rPr>
      <w:rFonts w:ascii="Times New Roman" w:eastAsia="Times New Roman" w:hAnsi="Times New Roman" w:cs="Times New Roman"/>
      <w:b/>
      <w:bCs/>
      <w:sz w:val="20"/>
      <w:szCs w:val="20"/>
      <w:lang w:eastAsia="ru-RU"/>
    </w:rPr>
  </w:style>
  <w:style w:type="paragraph" w:styleId="ae">
    <w:name w:val="Normal (Web)"/>
    <w:basedOn w:val="a"/>
    <w:uiPriority w:val="99"/>
    <w:semiHidden/>
    <w:unhideWhenUsed/>
    <w:pPr>
      <w:spacing w:before="100" w:beforeAutospacing="1" w:after="100" w:afterAutospacing="1"/>
    </w:pPr>
    <w:rPr>
      <w:lang w:eastAsia="uk-UA"/>
    </w:rPr>
  </w:style>
  <w:style w:type="paragraph" w:styleId="af">
    <w:name w:val="Balloon Text"/>
    <w:basedOn w:val="a"/>
    <w:link w:val="af0"/>
    <w:uiPriority w:val="99"/>
    <w:semiHidden/>
    <w:unhideWhenUsed/>
    <w:rPr>
      <w:rFonts w:ascii="Segoe UI" w:hAnsi="Segoe UI" w:cs="Segoe UI"/>
      <w:sz w:val="18"/>
      <w:szCs w:val="18"/>
    </w:rPr>
  </w:style>
  <w:style w:type="character" w:customStyle="1" w:styleId="af0">
    <w:name w:val="Текст выноски Знак"/>
    <w:basedOn w:val="a0"/>
    <w:link w:val="af"/>
    <w:uiPriority w:val="99"/>
    <w:semiHidden/>
    <w:rPr>
      <w:rFonts w:ascii="Segoe UI" w:eastAsia="Times New Roman" w:hAnsi="Segoe UI" w:cs="Segoe UI"/>
      <w:sz w:val="18"/>
      <w:szCs w:val="18"/>
      <w:lang w:eastAsia="ru-RU"/>
    </w:rPr>
  </w:style>
  <w:style w:type="paragraph" w:styleId="af1">
    <w:name w:val="footer"/>
    <w:basedOn w:val="a"/>
    <w:link w:val="af2"/>
    <w:uiPriority w:val="99"/>
    <w:unhideWhenUsed/>
    <w:pPr>
      <w:tabs>
        <w:tab w:val="center" w:pos="4819"/>
        <w:tab w:val="right" w:pos="9639"/>
      </w:tabs>
    </w:pPr>
  </w:style>
  <w:style w:type="character" w:customStyle="1" w:styleId="af2">
    <w:name w:val="Нижний колонтитул Знак"/>
    <w:basedOn w:val="a0"/>
    <w:link w:val="af1"/>
    <w:uiPriority w:val="99"/>
    <w:rPr>
      <w:rFonts w:ascii="Times New Roman" w:eastAsia="Times New Roman" w:hAnsi="Times New Roman" w:cs="Times New Roman"/>
      <w:sz w:val="24"/>
      <w:szCs w:val="24"/>
      <w:lang w:eastAsia="ru-RU"/>
    </w:rPr>
  </w:style>
  <w:style w:type="paragraph" w:styleId="af3">
    <w:name w:val="Revision"/>
    <w:hidden/>
    <w:uiPriority w:val="99"/>
    <w:semiHidden/>
    <w:pPr>
      <w:spacing w:after="0" w:line="240" w:lineRule="auto"/>
    </w:pPr>
    <w:rPr>
      <w:rFonts w:ascii="Times New Roman" w:eastAsia="Times New Roman" w:hAnsi="Times New Roman" w:cs="Times New Roman"/>
      <w:sz w:val="24"/>
      <w:szCs w:val="24"/>
      <w:lang w:eastAsia="ru-RU"/>
    </w:rPr>
  </w:style>
  <w:style w:type="character" w:customStyle="1" w:styleId="10">
    <w:name w:val="Заголовок 1 Знак"/>
    <w:basedOn w:val="a0"/>
    <w:link w:val="1"/>
    <w:uiPriority w:val="9"/>
    <w:rPr>
      <w:rFonts w:asciiTheme="majorHAnsi" w:eastAsiaTheme="majorEastAsia" w:hAnsiTheme="majorHAnsi" w:cstheme="majorBidi"/>
      <w:color w:val="2E74B5" w:themeColor="accent1" w:themeShade="BF"/>
      <w:sz w:val="32"/>
      <w:szCs w:val="32"/>
      <w:lang w:eastAsia="ru-RU"/>
    </w:rPr>
  </w:style>
  <w:style w:type="character" w:customStyle="1" w:styleId="rvts23">
    <w:name w:val="rvts23"/>
    <w:basedOn w:val="a0"/>
  </w:style>
  <w:style w:type="character" w:customStyle="1" w:styleId="rvts9">
    <w:name w:val="rvts9"/>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605486">
      <w:bodyDiv w:val="1"/>
      <w:marLeft w:val="0"/>
      <w:marRight w:val="0"/>
      <w:marTop w:val="0"/>
      <w:marBottom w:val="0"/>
      <w:divBdr>
        <w:top w:val="none" w:sz="0" w:space="0" w:color="auto"/>
        <w:left w:val="none" w:sz="0" w:space="0" w:color="auto"/>
        <w:bottom w:val="none" w:sz="0" w:space="0" w:color="auto"/>
        <w:right w:val="none" w:sz="0" w:space="0" w:color="auto"/>
      </w:divBdr>
    </w:div>
    <w:div w:id="135494262">
      <w:bodyDiv w:val="1"/>
      <w:marLeft w:val="0"/>
      <w:marRight w:val="0"/>
      <w:marTop w:val="0"/>
      <w:marBottom w:val="0"/>
      <w:divBdr>
        <w:top w:val="none" w:sz="0" w:space="0" w:color="auto"/>
        <w:left w:val="none" w:sz="0" w:space="0" w:color="auto"/>
        <w:bottom w:val="none" w:sz="0" w:space="0" w:color="auto"/>
        <w:right w:val="none" w:sz="0" w:space="0" w:color="auto"/>
      </w:divBdr>
      <w:divsChild>
        <w:div w:id="193924147">
          <w:marLeft w:val="0"/>
          <w:marRight w:val="0"/>
          <w:marTop w:val="0"/>
          <w:marBottom w:val="150"/>
          <w:divBdr>
            <w:top w:val="none" w:sz="0" w:space="0" w:color="auto"/>
            <w:left w:val="none" w:sz="0" w:space="0" w:color="auto"/>
            <w:bottom w:val="none" w:sz="0" w:space="0" w:color="auto"/>
            <w:right w:val="none" w:sz="0" w:space="0" w:color="auto"/>
          </w:divBdr>
        </w:div>
      </w:divsChild>
    </w:div>
    <w:div w:id="721707967">
      <w:bodyDiv w:val="1"/>
      <w:marLeft w:val="0"/>
      <w:marRight w:val="0"/>
      <w:marTop w:val="0"/>
      <w:marBottom w:val="0"/>
      <w:divBdr>
        <w:top w:val="none" w:sz="0" w:space="0" w:color="auto"/>
        <w:left w:val="none" w:sz="0" w:space="0" w:color="auto"/>
        <w:bottom w:val="none" w:sz="0" w:space="0" w:color="auto"/>
        <w:right w:val="none" w:sz="0" w:space="0" w:color="auto"/>
      </w:divBdr>
    </w:div>
    <w:div w:id="1159230043">
      <w:bodyDiv w:val="1"/>
      <w:marLeft w:val="0"/>
      <w:marRight w:val="0"/>
      <w:marTop w:val="0"/>
      <w:marBottom w:val="0"/>
      <w:divBdr>
        <w:top w:val="none" w:sz="0" w:space="0" w:color="auto"/>
        <w:left w:val="none" w:sz="0" w:space="0" w:color="auto"/>
        <w:bottom w:val="none" w:sz="0" w:space="0" w:color="auto"/>
        <w:right w:val="none" w:sz="0" w:space="0" w:color="auto"/>
      </w:divBdr>
    </w:div>
    <w:div w:id="1618828716">
      <w:bodyDiv w:val="1"/>
      <w:marLeft w:val="0"/>
      <w:marRight w:val="0"/>
      <w:marTop w:val="0"/>
      <w:marBottom w:val="0"/>
      <w:divBdr>
        <w:top w:val="none" w:sz="0" w:space="0" w:color="auto"/>
        <w:left w:val="none" w:sz="0" w:space="0" w:color="auto"/>
        <w:bottom w:val="none" w:sz="0" w:space="0" w:color="auto"/>
        <w:right w:val="none" w:sz="0" w:space="0" w:color="auto"/>
      </w:divBdr>
    </w:div>
    <w:div w:id="2082097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zakon3.rada.gov.ua/laws/show/2019-19/page"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1BA44A-FEDE-4860-AE8F-8CAD61874E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11</Pages>
  <Words>13471</Words>
  <Characters>7679</Characters>
  <Application>Microsoft Office Word</Application>
  <DocSecurity>0</DocSecurity>
  <Lines>63</Lines>
  <Paragraphs>42</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21108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Ющенко Олексій</dc:creator>
  <cp:keywords/>
  <dc:description/>
  <cp:lastModifiedBy>Ирина Билоброва</cp:lastModifiedBy>
  <cp:revision>15</cp:revision>
  <cp:lastPrinted>2024-12-03T08:27:00Z</cp:lastPrinted>
  <dcterms:created xsi:type="dcterms:W3CDTF">2025-11-12T16:14:00Z</dcterms:created>
  <dcterms:modified xsi:type="dcterms:W3CDTF">2025-11-17T14:18:00Z</dcterms:modified>
</cp:coreProperties>
</file>